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000000" w:themeColor="text1"/>
          <w:sz w:val="72"/>
          <w:highlight w:val="none"/>
          <w14:textFill>
            <w14:solidFill>
              <w14:schemeClr w14:val="tx1"/>
            </w14:solidFill>
          </w14:textFill>
        </w:rPr>
      </w:pPr>
      <w:r/>
      <w:bookmarkStart w:id="0" w:name="_Toc2583690"/>
      <w:r/>
      <w:bookmarkStart w:id="1" w:name="_Toc388026583"/>
      <w:r/>
      <w:bookmarkStart w:id="2" w:name="_Toc518558490"/>
      <w:r/>
      <w:r/>
    </w:p>
    <w:p>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苏 州 市 政 府 采 购</w:t>
      </w:r>
      <w:r/>
    </w:p>
    <w:p>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   标   文   件</w:t>
      </w:r>
      <w:r/>
    </w:p>
    <w:p>
      <w:pP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 </w:t>
      </w:r>
      <w:r/>
    </w:p>
    <w:p>
      <w:pP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ind w:firstLine="1063"/>
        <w:spacing w:line="360" w:lineRule="auto"/>
        <w:tabs>
          <w:tab w:val="left" w:pos="6640" w:leader="none"/>
        </w:tabs>
        <w:rPr>
          <w:rFonts w:ascii="宋体" w:hAnsi="宋体" w:cs="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招标编号</w:t>
      </w:r>
      <w:r>
        <w:rPr>
          <w:rFonts w:hint="eastAsia" w:ascii="宋体" w:hAnsi="宋体" w:cs="宋体"/>
          <w:b/>
          <w:bCs/>
          <w:color w:val="000000" w:themeColor="text1"/>
          <w:sz w:val="28"/>
          <w:szCs w:val="28"/>
          <w:highlight w:val="none"/>
          <w14:textFill>
            <w14:solidFill>
              <w14:schemeClr w14:val="tx1"/>
            </w14:solidFill>
          </w14:textFill>
        </w:rPr>
        <w:t xml:space="preserve">：JSZC-320500-XCXC-G2025-0017 </w:t>
      </w:r>
      <w:r>
        <w:rPr>
          <w:rFonts w:hint="eastAsia" w:ascii="宋体" w:hAnsi="宋体" w:cs="宋体"/>
          <w:b/>
          <w:bCs/>
          <w:color w:val="000000" w:themeColor="text1"/>
          <w:sz w:val="28"/>
          <w:szCs w:val="28"/>
          <w:highlight w:val="none"/>
          <w14:textFill>
            <w14:solidFill>
              <w14:schemeClr w14:val="tx1"/>
            </w14:solidFill>
          </w14:textFill>
        </w:rPr>
        <w:tab/>
      </w:r>
      <w:r/>
    </w:p>
    <w:p>
      <w:pPr>
        <w:ind w:firstLine="1063"/>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采购人：江苏省苏州市中级人民法院</w:t>
      </w:r>
      <w:r/>
    </w:p>
    <w:p>
      <w:pPr>
        <w:ind w:firstLine="1063"/>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采购代理机构：苏州星创招投标咨询有限公司 </w:t>
      </w:r>
      <w:r/>
    </w:p>
    <w:p>
      <w:pPr>
        <w:ind w:firstLine="1063"/>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项目名称:苏州市中级人民法院灾备云扩容</w:t>
      </w:r>
      <w:r/>
    </w:p>
    <w:p>
      <w:pPr>
        <w:ind w:firstLine="1063"/>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采购类别：货物类-其他</w:t>
      </w:r>
      <w:r/>
    </w:p>
    <w:p>
      <w:pPr>
        <w:pStyle w:val="845"/>
        <w:rPr>
          <w:rFonts w:ascii="宋体" w:hAnsi="宋体" w:eastAsia="宋体"/>
          <w:color w:val="000000" w:themeColor="text1"/>
          <w:sz w:val="28"/>
          <w:szCs w:val="28"/>
          <w:highlight w:val="none"/>
          <w14:textFill>
            <w14:solidFill>
              <w14:schemeClr w14:val="tx1"/>
            </w14:solidFill>
          </w14:textFill>
        </w:rPr>
      </w:pPr>
      <w:r>
        <w:rPr>
          <w:rFonts w:ascii="宋体" w:hAnsi="宋体" w:eastAsia="宋体"/>
          <w:color w:val="000000" w:themeColor="text1"/>
          <w:sz w:val="28"/>
          <w:szCs w:val="28"/>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832"/>
        <w:rPr>
          <w:rFonts w:hAnsi="宋体"/>
          <w:color w:val="000000" w:themeColor="text1"/>
          <w:szCs w:val="28"/>
          <w:highlight w:val="none"/>
          <w14:textFill>
            <w14:solidFill>
              <w14:schemeClr w14:val="tx1"/>
            </w14:solidFill>
          </w14:textFill>
        </w:rPr>
      </w:pPr>
      <w:r>
        <w:rPr>
          <w:rFonts w:hAnsi="宋体"/>
          <w:color w:val="000000" w:themeColor="text1"/>
          <w:szCs w:val="28"/>
          <w:highlight w:val="none"/>
          <w14:textFill>
            <w14:solidFill>
              <w14:schemeClr w14:val="tx1"/>
            </w14:solidFill>
          </w14:textFill>
        </w:rPr>
      </w:r>
      <w:r/>
    </w:p>
    <w:p>
      <w:pP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苏州星创招投标咨询有限公司</w:t>
      </w:r>
      <w:r/>
    </w:p>
    <w:p>
      <w:pPr>
        <w:jc w:val="center"/>
        <w:rPr>
          <w:color w:val="000000" w:themeColor="text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2025年10月</w:t>
      </w:r>
      <w:r/>
    </w:p>
    <w:p>
      <w:pPr>
        <w:jc w:val="center"/>
        <w:rPr>
          <w:rFonts w:ascii="宋体" w:hAnsi="宋体"/>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olor w:val="000000" w:themeColor="text1"/>
          <w:sz w:val="36"/>
          <w:szCs w:val="36"/>
          <w:highlight w:val="none"/>
          <w14:textFill>
            <w14:solidFill>
              <w14:schemeClr w14:val="tx1"/>
            </w14:solidFill>
          </w14:textFill>
        </w:rPr>
        <w:t xml:space="preserve">前附表</w:t>
      </w:r>
      <w:r/>
    </w:p>
    <w:tbl>
      <w:tblPr>
        <w:tblStyle w:val="649"/>
        <w:tblW w:w="53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07"/>
        <w:gridCol w:w="6556"/>
      </w:tblGrid>
      <w:tr>
        <w:trPr>
          <w:jc w:val="center"/>
          <w:trHeight w:val="331"/>
        </w:trPr>
        <w:tc>
          <w:tcPr>
            <w:tcW w:w="834"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807"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w:t>
            </w:r>
            <w:r/>
          </w:p>
        </w:tc>
        <w:tc>
          <w:tcPr>
            <w:tcW w:w="6557"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tc>
      </w:tr>
      <w:tr>
        <w:trPr>
          <w:jc w:val="center"/>
          <w:trHeight w:val="355"/>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W w:w="1807" w:type="dxa"/>
            <w:vAlign w:val="center"/>
            <w:textDirection w:val="lrTb"/>
            <w:noWrap w:val="false"/>
          </w:tcPr>
          <w:p>
            <w:pPr>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项目名称</w:t>
            </w:r>
            <w:r/>
          </w:p>
        </w:tc>
        <w:tc>
          <w:tcPr>
            <w:tcW w:w="6557" w:type="dxa"/>
            <w:vAlign w:val="center"/>
            <w:textDirection w:val="lrTb"/>
            <w:noWrap w:val="false"/>
          </w:tcPr>
          <w:p>
            <w:pPr>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苏州市中级人民法院灾备云扩容</w:t>
            </w:r>
            <w:r/>
          </w:p>
        </w:tc>
      </w:tr>
      <w:tr>
        <w:trPr>
          <w:jc w:val="center"/>
          <w:trHeight w:val="434"/>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交货期限</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合同签订后</w:t>
            </w:r>
            <w:r>
              <w:rPr>
                <w:rFonts w:hint="eastAsia" w:ascii="宋体" w:hAnsi="宋体"/>
                <w:color w:val="000000" w:themeColor="text1"/>
                <w:sz w:val="24"/>
                <w:highlight w:val="none"/>
                <w:u w:val="single"/>
                <w14:textFill>
                  <w14:solidFill>
                    <w14:schemeClr w14:val="tx1"/>
                  </w14:solidFill>
                </w14:textFill>
              </w:rPr>
              <w:t xml:space="preserve"> 30 </w:t>
            </w:r>
            <w:r>
              <w:rPr>
                <w:rFonts w:hint="eastAsia" w:ascii="宋体" w:hAnsi="宋体"/>
                <w:color w:val="000000" w:themeColor="text1"/>
                <w:sz w:val="24"/>
                <w:highlight w:val="none"/>
                <w14:textFill>
                  <w14:solidFill>
                    <w14:schemeClr w14:val="tx1"/>
                  </w14:solidFill>
                </w14:textFill>
              </w:rPr>
              <w:t xml:space="preserve">日内完成安装、调试并交付使用。</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采购预算</w:t>
            </w:r>
            <w:r/>
          </w:p>
        </w:tc>
        <w:tc>
          <w:tcPr>
            <w:tcW w:w="6557" w:type="dxa"/>
            <w:vAlign w:val="center"/>
            <w:textDirection w:val="lrTb"/>
            <w:noWrap w:val="false"/>
          </w:tcPr>
          <w:p>
            <w:pPr>
              <w:spacing w:line="360" w:lineRule="auto"/>
              <w:rPr>
                <w:color w:val="000000" w:themeColor="text1"/>
                <w:highlight w:val="none"/>
                <w14:textFill>
                  <w14:solidFill>
                    <w14:schemeClr w14:val="tx1"/>
                  </w14:solidFill>
                </w14:textFill>
              </w:rPr>
            </w:pPr>
            <w:r/>
            <w:bookmarkStart w:id="3" w:name="OLE_LINK1"/>
            <w:r>
              <w:rPr>
                <w:rFonts w:hint="eastAsia" w:ascii="宋体" w:hAnsi="宋体" w:cs="宋体"/>
                <w:bCs/>
                <w:color w:val="000000" w:themeColor="text1"/>
                <w:sz w:val="24"/>
                <w:highlight w:val="none"/>
                <w14:textFill>
                  <w14:solidFill>
                    <w14:schemeClr w14:val="tx1"/>
                  </w14:solidFill>
                </w14:textFill>
              </w:rPr>
              <w:t xml:space="preserve">150.00</w:t>
            </w:r>
            <w:bookmarkEnd w:id="3"/>
            <w:r>
              <w:rPr>
                <w:rFonts w:hint="eastAsia" w:ascii="宋体" w:hAnsi="宋体" w:cs="宋体"/>
                <w:bCs/>
                <w:color w:val="000000" w:themeColor="text1"/>
                <w:sz w:val="24"/>
                <w:highlight w:val="none"/>
                <w14:textFill>
                  <w14:solidFill>
                    <w14:schemeClr w14:val="tx1"/>
                  </w14:solidFill>
                </w14:textFill>
              </w:rPr>
              <w:t xml:space="preserve">万元</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最高限价</w:t>
            </w:r>
            <w:r/>
          </w:p>
        </w:tc>
        <w:tc>
          <w:tcPr>
            <w:tcW w:w="6557" w:type="dxa"/>
            <w:vAlign w:val="center"/>
            <w:textDirection w:val="lrTb"/>
            <w:noWrap w:val="false"/>
          </w:tcPr>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150.00万元</w:t>
            </w:r>
            <w:r/>
          </w:p>
        </w:tc>
      </w:tr>
      <w:tr>
        <w:trPr>
          <w:jc w:val="center"/>
          <w:trHeight w:val="128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807" w:type="dxa"/>
            <w:vAlign w:val="center"/>
            <w:textDirection w:val="lrTb"/>
            <w:noWrap w:val="false"/>
          </w:tcPr>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投标人落实政府采购政策资格要求、特定资格条件</w:t>
            </w:r>
            <w:r/>
          </w:p>
        </w:tc>
        <w:tc>
          <w:tcPr>
            <w:tcW w:w="6557" w:type="dxa"/>
            <w:vAlign w:val="center"/>
            <w:textDirection w:val="lrTb"/>
            <w:noWrap w:val="false"/>
          </w:tcPr>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无</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联合体投标</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不接受</w:t>
            </w:r>
            <w:r/>
          </w:p>
        </w:tc>
      </w:tr>
      <w:tr>
        <w:trPr>
          <w:jc w:val="center"/>
          <w:trHeight w:val="536"/>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进口产品</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不接受进口产品</w:t>
            </w:r>
            <w:r>
              <w:rPr>
                <w:rFonts w:hint="eastAsia" w:ascii="宋体" w:hAnsi="宋体"/>
                <w:color w:val="000000" w:themeColor="text1"/>
                <w:sz w:val="24"/>
                <w:highlight w:val="none"/>
                <w:lang w:val="zh-CN"/>
                <w14:textFill>
                  <w14:solidFill>
                    <w14:schemeClr w14:val="tx1"/>
                  </w14:solidFill>
                </w14:textFill>
              </w:rPr>
              <w:t xml:space="preserve">投标</w:t>
            </w:r>
            <w:r/>
          </w:p>
        </w:tc>
      </w:tr>
      <w:tr>
        <w:trPr>
          <w:jc w:val="center"/>
          <w:trHeight w:val="443"/>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w:t>
            </w:r>
            <w:r>
              <w:rPr>
                <w:rFonts w:hint="eastAsia" w:ascii="宋体" w:hAnsi="宋体"/>
                <w:color w:val="000000" w:themeColor="text1"/>
                <w:sz w:val="24"/>
                <w:highlight w:val="none"/>
                <w14:textFill>
                  <w14:solidFill>
                    <w14:schemeClr w14:val="tx1"/>
                  </w14:solidFill>
                </w14:textFill>
              </w:rPr>
              <w:t xml:space="preserve">考察</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不集中组织现场考察</w:t>
            </w:r>
            <w:r/>
          </w:p>
        </w:tc>
      </w:tr>
      <w:tr>
        <w:trPr>
          <w:jc w:val="center"/>
          <w:trHeight w:val="96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投标答疑会 </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不召开,</w:t>
            </w:r>
            <w:r>
              <w:rPr>
                <w:rFonts w:ascii="宋体" w:hAnsi="宋体"/>
                <w:color w:val="000000" w:themeColor="text1"/>
                <w:sz w:val="24"/>
                <w:highlight w:val="none"/>
                <w14:textFill>
                  <w14:solidFill>
                    <w14:schemeClr w14:val="tx1"/>
                  </w14:solidFill>
                </w14:textFill>
              </w:rPr>
              <w:t xml:space="preserve">投标人对招标文件如有疑问，</w:t>
            </w:r>
            <w:r>
              <w:rPr>
                <w:rFonts w:hint="eastAsia" w:ascii="宋体" w:hAnsi="宋体"/>
                <w:color w:val="000000" w:themeColor="text1"/>
                <w:sz w:val="24"/>
                <w:highlight w:val="none"/>
                <w14:textFill>
                  <w14:solidFill>
                    <w14:schemeClr w14:val="tx1"/>
                  </w14:solidFill>
                </w14:textFill>
              </w:rPr>
              <w:t xml:space="preserve">可通过公告中的联系方式及时提出，采购人或采购代理机构将予以解答，但答复内容不得涉及商业秘密。</w:t>
            </w:r>
            <w:r/>
          </w:p>
        </w:tc>
      </w:tr>
      <w:tr>
        <w:trPr>
          <w:jc w:val="center"/>
          <w:trHeight w:val="64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投标文件份数</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本项目采用电子投标文件，投标人按照招标文件要求制作上传电子投标文件，投标人无需提供纸质投标文件。</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投标货币</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人民币</w:t>
            </w:r>
            <w:r/>
          </w:p>
        </w:tc>
      </w:tr>
      <w:tr>
        <w:trPr>
          <w:jc w:val="center"/>
          <w:trHeight w:val="160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招标代理费</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按以下方式差额定率累计后收取，领取中标通知书时中标人向采购代理机构一次性付清。</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计算公式：</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预算价100万元以下，费率1.5%；</w:t>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预算价100万元-500万元，费率1.1%；</w:t>
            </w:r>
            <w:r/>
          </w:p>
        </w:tc>
      </w:tr>
      <w:tr>
        <w:trPr>
          <w:jc w:val="center"/>
          <w:trHeight w:val="64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保证金</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不提交，招标文件内关于投标保证金的相关规定均不适用</w:t>
            </w:r>
            <w:r>
              <w:rPr>
                <w:rFonts w:hint="eastAsia" w:ascii="宋体" w:hAnsi="宋体"/>
                <w:color w:val="000000" w:themeColor="text1"/>
                <w:sz w:val="24"/>
                <w:highlight w:val="none"/>
                <w14:textFill>
                  <w14:solidFill>
                    <w14:schemeClr w14:val="tx1"/>
                  </w14:solidFill>
                </w14:textFill>
              </w:rPr>
              <w:t xml:space="preserve">。</w:t>
            </w:r>
            <w:r/>
          </w:p>
        </w:tc>
      </w:tr>
      <w:tr>
        <w:trPr>
          <w:jc w:val="center"/>
          <w:trHeight w:val="64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文件</w:t>
            </w:r>
            <w:r>
              <w:rPr>
                <w:rFonts w:ascii="宋体" w:hAnsi="宋体"/>
                <w:color w:val="000000" w:themeColor="text1"/>
                <w:sz w:val="24"/>
                <w:highlight w:val="none"/>
                <w14:textFill>
                  <w14:solidFill>
                    <w14:schemeClr w14:val="tx1"/>
                  </w14:solidFill>
                </w14:textFill>
              </w:rPr>
              <w:t xml:space="preserve">有效期</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90</w:t>
            </w:r>
            <w:r>
              <w:rPr>
                <w:rFonts w:ascii="宋体" w:hAnsi="宋体"/>
                <w:color w:val="000000" w:themeColor="text1"/>
                <w:sz w:val="24"/>
                <w:highlight w:val="none"/>
                <w14:textFill>
                  <w14:solidFill>
                    <w14:schemeClr w14:val="tx1"/>
                  </w14:solidFill>
                </w14:textFill>
              </w:rPr>
              <w:t xml:space="preserve">日历天（</w:t>
            </w:r>
            <w:r>
              <w:rPr>
                <w:rFonts w:hint="eastAsia" w:ascii="宋体" w:hAnsi="宋体"/>
                <w:color w:val="000000" w:themeColor="text1"/>
                <w:sz w:val="24"/>
                <w:highlight w:val="none"/>
                <w14:textFill>
                  <w14:solidFill>
                    <w14:schemeClr w14:val="tx1"/>
                  </w14:solidFill>
                </w14:textFill>
              </w:rPr>
              <w:t xml:space="preserve">从投标截止之日算起</w:t>
            </w:r>
            <w:r>
              <w:rPr>
                <w:rFonts w:ascii="宋体" w:hAnsi="宋体"/>
                <w:color w:val="000000" w:themeColor="text1"/>
                <w:sz w:val="24"/>
                <w:highlight w:val="none"/>
                <w14:textFill>
                  <w14:solidFill>
                    <w14:schemeClr w14:val="tx1"/>
                  </w14:solidFill>
                </w14:textFill>
              </w:rPr>
              <w:t xml:space="preserve">）</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投标截止时间</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w:t>
            </w:r>
            <w:r>
              <w:rPr>
                <w:rFonts w:hint="eastAsia" w:ascii="宋体" w:hAnsi="宋体"/>
                <w:color w:val="000000" w:themeColor="text1"/>
                <w:sz w:val="24"/>
                <w:highlight w:val="none"/>
                <w:u w:val="single"/>
                <w:lang w:eastAsia="zh-CN"/>
                <w14:textFill>
                  <w14:solidFill>
                    <w14:schemeClr w14:val="tx1"/>
                  </w14:solidFill>
                </w14:textFill>
              </w:rPr>
              <w:t xml:space="preserve">2025年11月21日</w:t>
            </w:r>
            <w:r>
              <w:rPr>
                <w:rFonts w:hint="eastAsia" w:ascii="宋体" w:hAnsi="宋体"/>
                <w:color w:val="000000" w:themeColor="text1"/>
                <w:sz w:val="24"/>
                <w:highlight w:val="none"/>
                <w:u w:val="single"/>
                <w14:textFill>
                  <w14:solidFill>
                    <w14:schemeClr w14:val="tx1"/>
                  </w14:solidFill>
                </w14:textFill>
              </w:rPr>
              <w:t xml:space="preserve">13</w:t>
            </w:r>
            <w:r>
              <w:rPr>
                <w:rFonts w:ascii="宋体" w:hAnsi="宋体"/>
                <w:color w:val="000000" w:themeColor="text1"/>
                <w:sz w:val="24"/>
                <w:highlight w:val="none"/>
                <w:u w:val="single"/>
                <w14:textFill>
                  <w14:solidFill>
                    <w14:schemeClr w14:val="tx1"/>
                  </w14:solidFill>
                </w14:textFill>
              </w:rPr>
              <w:t xml:space="preserve">时</w:t>
            </w:r>
            <w:r>
              <w:rPr>
                <w:rFonts w:hint="eastAsia" w:ascii="宋体" w:hAnsi="宋体"/>
                <w:color w:val="000000" w:themeColor="text1"/>
                <w:sz w:val="24"/>
                <w:highlight w:val="none"/>
                <w:u w:val="single"/>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分</w:t>
            </w:r>
            <w:r/>
          </w:p>
        </w:tc>
      </w:tr>
      <w:tr>
        <w:trPr>
          <w:jc w:val="center"/>
          <w:trHeight w:val="647"/>
        </w:trPr>
        <w:tc>
          <w:tcPr>
            <w:tcW w:w="834" w:type="dxa"/>
            <w:vAlign w:val="center"/>
            <w:vMerge w:val="restart"/>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投标地点</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地点：“</w:t>
            </w:r>
            <w:r>
              <w:rPr>
                <w:rFonts w:ascii="宋体" w:hAnsi="宋体"/>
                <w:color w:val="000000" w:themeColor="text1"/>
                <w:sz w:val="24"/>
                <w:highlight w:val="none"/>
                <w14:textFill>
                  <w14:solidFill>
                    <w14:schemeClr w14:val="tx1"/>
                  </w14:solidFill>
                </w14:textFill>
              </w:rPr>
              <w:t xml:space="preserve">苏采云”系统（网址：http://jszfcg.jsczt.cn/）</w:t>
            </w:r>
            <w:r/>
          </w:p>
        </w:tc>
      </w:tr>
      <w:tr>
        <w:trPr>
          <w:jc w:val="center"/>
          <w:trHeight w:val="967"/>
        </w:trPr>
        <w:tc>
          <w:tcPr>
            <w:tcW w:w="834" w:type="dxa"/>
            <w:vAlign w:val="center"/>
            <w:vMerge w:val="continue"/>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开标</w:t>
            </w:r>
            <w:r>
              <w:rPr>
                <w:rFonts w:hint="eastAsia" w:ascii="宋体" w:hAnsi="宋体"/>
                <w:color w:val="000000" w:themeColor="text1"/>
                <w:sz w:val="24"/>
                <w:highlight w:val="none"/>
                <w14:textFill>
                  <w14:solidFill>
                    <w14:schemeClr w14:val="tx1"/>
                  </w14:solidFill>
                </w14:textFill>
              </w:rPr>
              <w:t xml:space="preserve">时间和地点</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w:t>
            </w:r>
            <w:r>
              <w:rPr>
                <w:rFonts w:hint="eastAsia" w:ascii="宋体" w:hAnsi="宋体"/>
                <w:color w:val="000000" w:themeColor="text1"/>
                <w:sz w:val="24"/>
                <w:highlight w:val="none"/>
                <w:u w:val="single"/>
                <w:lang w:eastAsia="zh-CN"/>
                <w14:textFill>
                  <w14:solidFill>
                    <w14:schemeClr w14:val="tx1"/>
                  </w14:solidFill>
                </w14:textFill>
              </w:rPr>
              <w:t xml:space="preserve">2025年11月21日</w:t>
            </w:r>
            <w:r>
              <w:rPr>
                <w:rFonts w:hint="eastAsia" w:ascii="宋体" w:hAnsi="宋体"/>
                <w:color w:val="000000" w:themeColor="text1"/>
                <w:sz w:val="24"/>
                <w:highlight w:val="none"/>
                <w:u w:val="single"/>
                <w14:textFill>
                  <w14:solidFill>
                    <w14:schemeClr w14:val="tx1"/>
                  </w14:solidFill>
                </w14:textFill>
              </w:rPr>
              <w:t xml:space="preserve">13</w:t>
            </w:r>
            <w:r>
              <w:rPr>
                <w:rFonts w:ascii="宋体" w:hAnsi="宋体"/>
                <w:color w:val="000000" w:themeColor="text1"/>
                <w:sz w:val="24"/>
                <w:highlight w:val="none"/>
                <w14:textFill>
                  <w14:solidFill>
                    <w14:schemeClr w14:val="tx1"/>
                  </w14:solidFill>
                </w14:textFill>
              </w:rPr>
              <w:t xml:space="preserve">时</w:t>
            </w:r>
            <w:r>
              <w:rPr>
                <w:rFonts w:hint="eastAsia" w:ascii="宋体" w:hAnsi="宋体"/>
                <w:color w:val="000000" w:themeColor="text1"/>
                <w:sz w:val="24"/>
                <w:highlight w:val="none"/>
                <w:u w:val="single"/>
                <w14:textFill>
                  <w14:solidFill>
                    <w14:schemeClr w14:val="tx1"/>
                  </w14:solidFill>
                </w14:textFill>
              </w:rPr>
              <w:t xml:space="preserve"> 30</w:t>
            </w:r>
            <w:r>
              <w:rPr>
                <w:rFonts w:hint="eastAsia" w:ascii="宋体" w:hAnsi="宋体"/>
                <w:color w:val="000000" w:themeColor="text1"/>
                <w:sz w:val="24"/>
                <w:highlight w:val="none"/>
                <w14:textFill>
                  <w14:solidFill>
                    <w14:schemeClr w14:val="tx1"/>
                  </w14:solidFill>
                </w14:textFill>
              </w:rPr>
              <w:t xml:space="preserve">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地点：“</w:t>
            </w:r>
            <w:r>
              <w:rPr>
                <w:rFonts w:ascii="宋体" w:hAnsi="宋体"/>
                <w:color w:val="000000" w:themeColor="text1"/>
                <w:sz w:val="24"/>
                <w:highlight w:val="none"/>
                <w14:textFill>
                  <w14:solidFill>
                    <w14:schemeClr w14:val="tx1"/>
                  </w14:solidFill>
                </w14:textFill>
              </w:rPr>
              <w:t xml:space="preserve">苏采云”系统（网址：http://jszfcg.jsczt.cn/）</w:t>
            </w:r>
            <w:r/>
          </w:p>
        </w:tc>
      </w:tr>
      <w:tr>
        <w:trPr>
          <w:jc w:val="center"/>
          <w:trHeight w:val="32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评标办法</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w:t>
            </w:r>
            <w:r>
              <w:rPr>
                <w:rFonts w:ascii="宋体" w:hAnsi="宋体"/>
                <w:color w:val="000000" w:themeColor="text1"/>
                <w:sz w:val="24"/>
                <w:highlight w:val="none"/>
                <w14:textFill>
                  <w14:solidFill>
                    <w14:schemeClr w14:val="tx1"/>
                  </w14:solidFill>
                </w14:textFill>
              </w:rPr>
              <w:t xml:space="preserve">法</w:t>
            </w:r>
            <w:r/>
          </w:p>
        </w:tc>
      </w:tr>
      <w:tr>
        <w:trPr>
          <w:jc w:val="center"/>
          <w:trHeight w:val="37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定标办法</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授权评标委员会按照采购文件要求确定中标供应商。</w:t>
            </w:r>
            <w:r/>
          </w:p>
        </w:tc>
      </w:tr>
      <w:tr>
        <w:trPr>
          <w:jc w:val="center"/>
          <w:trHeight w:val="586"/>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不提交</w:t>
            </w:r>
            <w:r/>
          </w:p>
        </w:tc>
      </w:tr>
      <w:tr>
        <w:trPr>
          <w:jc w:val="center"/>
          <w:trHeight w:val="128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中标通知书</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确定出中标人后，采购代理机构在法定时间内向中标人发出中标通知书。中标通知书将成为合同的组成部分。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请中标人在中标结果公告届满之日起30日内,使用CA证书登录“苏采云”系统及时下载中标通知书。</w:t>
            </w:r>
            <w:r/>
          </w:p>
        </w:tc>
      </w:tr>
      <w:tr>
        <w:trPr>
          <w:jc w:val="center"/>
          <w:trHeight w:val="2247"/>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导致废标因素</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出现下列情形之一的，为废标：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符合专业条件的投标人或者对招标文件作实质响应的投标人不足三家的；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（三）投标人的报价均超过了采购预算，采购人不能支付的；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（四）因重大变故，采购任务取消的。</w:t>
            </w:r>
            <w:r/>
          </w:p>
        </w:tc>
      </w:tr>
      <w:tr>
        <w:trPr>
          <w:jc w:val="center"/>
          <w:trHeight w:val="2573"/>
        </w:trPr>
        <w:tc>
          <w:tcPr>
            <w:tcW w:w="834"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w:t>
            </w:r>
            <w:r/>
          </w:p>
        </w:tc>
        <w:tc>
          <w:tcPr>
            <w:tcW w:w="180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导致无效标因素</w:t>
            </w:r>
            <w:r/>
          </w:p>
        </w:tc>
        <w:tc>
          <w:tcPr>
            <w:tcW w:w="6557" w:type="dxa"/>
            <w:vAlign w:val="center"/>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投标文件属下列情况之一的，在资格性、符合性检查时按照无效投标处理：</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（一）未按照招标文件规定要求签署、盖章的；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（二）不具备招标文件中规定资格要求的；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（三）报价超过招标文件中规定的预算金额或者最高限价的；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（四）投标文件含有采购人不能接受的附加条件的；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（五）机器码检查中，出现不同投标人投标文件机器码一致情形的；</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（六）法律、法规和招标文件规定的其他无效情形。</w:t>
            </w:r>
            <w:bookmarkEnd w:id="0"/>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目  录</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fldChar w:fldCharType="begin"/>
      </w:r>
      <w:r>
        <w:rPr>
          <w:rFonts w:ascii="宋体" w:hAnsi="宋体" w:eastAsia="宋体"/>
          <w:b/>
          <w:color w:val="000000" w:themeColor="text1"/>
          <w:sz w:val="28"/>
          <w:szCs w:val="28"/>
          <w:highlight w:val="none"/>
          <w14:textFill>
            <w14:solidFill>
              <w14:schemeClr w14:val="tx1"/>
            </w14:solidFill>
          </w14:textFill>
        </w:rPr>
        <w:instrText xml:space="preserve"> </w:instrText>
      </w:r>
      <w:r>
        <w:rPr>
          <w:rFonts w:hint="eastAsia" w:ascii="宋体" w:hAnsi="宋体" w:eastAsia="宋体"/>
          <w:b/>
          <w:color w:val="000000" w:themeColor="text1"/>
          <w:sz w:val="28"/>
          <w:szCs w:val="28"/>
          <w:highlight w:val="none"/>
          <w14:textFill>
            <w14:solidFill>
              <w14:schemeClr w14:val="tx1"/>
            </w14:solidFill>
          </w14:textFill>
        </w:rPr>
        <w:instrText xml:space="preserve">TOC  \* MERGEFORMAT</w:instrText>
      </w:r>
      <w:r>
        <w:rPr>
          <w:rFonts w:ascii="宋体" w:hAnsi="宋体" w:eastAsia="宋体"/>
          <w:b/>
          <w:color w:val="000000" w:themeColor="text1"/>
          <w:sz w:val="28"/>
          <w:szCs w:val="28"/>
          <w:highlight w:val="none"/>
          <w14:textFill>
            <w14:solidFill>
              <w14:schemeClr w14:val="tx1"/>
            </w14:solidFill>
          </w14:textFill>
        </w:rPr>
        <w:instrText xml:space="preserve"> </w:instrText>
      </w:r>
      <w:r>
        <w:rPr>
          <w:rFonts w:ascii="宋体" w:hAnsi="宋体" w:eastAsia="宋体"/>
          <w:b/>
          <w:color w:val="000000" w:themeColor="text1"/>
          <w:sz w:val="28"/>
          <w:szCs w:val="28"/>
          <w:highlight w:val="none"/>
          <w14:textFill>
            <w14:solidFill>
              <w14:schemeClr w14:val="tx1"/>
            </w14:solidFill>
          </w14:textFill>
        </w:rPr>
        <w:fldChar w:fldCharType="separate"/>
      </w:r>
      <w:r>
        <w:rPr>
          <w:rFonts w:hint="eastAsia" w:ascii="宋体" w:hAnsi="宋体" w:eastAsia="宋体"/>
          <w:b/>
          <w:color w:val="000000" w:themeColor="text1"/>
          <w:sz w:val="28"/>
          <w:szCs w:val="28"/>
          <w:highlight w:val="none"/>
          <w14:textFill>
            <w14:solidFill>
              <w14:schemeClr w14:val="tx1"/>
            </w14:solidFill>
          </w14:textFill>
        </w:rPr>
        <w:t xml:space="preserve">第一章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招标公告</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5</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第二章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投标人须知</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11</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第三章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投标文件格式</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30</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第四章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采购内容</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39</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第五章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合同条款</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46</w:t>
      </w:r>
      <w:r/>
    </w:p>
    <w:p>
      <w:pPr>
        <w:pStyle w:val="845"/>
        <w:tabs>
          <w:tab w:val="right" w:pos="9344" w:leader="dot"/>
        </w:tabs>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第六章</w:t>
      </w:r>
      <w:r>
        <w:rPr>
          <w:rFonts w:ascii="宋体" w:hAnsi="宋体" w:eastAsia="宋体"/>
          <w:b/>
          <w:color w:val="000000" w:themeColor="text1"/>
          <w:sz w:val="28"/>
          <w:szCs w:val="28"/>
          <w:highlight w:val="none"/>
          <w14:textFill>
            <w14:solidFill>
              <w14:schemeClr w14:val="tx1"/>
            </w14:solidFill>
          </w14:textFill>
        </w:rPr>
        <w:t xml:space="preserve"> </w:t>
      </w:r>
      <w:r>
        <w:rPr>
          <w:rFonts w:hint="eastAsia" w:ascii="宋体" w:hAnsi="宋体" w:eastAsia="宋体"/>
          <w:b/>
          <w:color w:val="000000" w:themeColor="text1"/>
          <w:sz w:val="28"/>
          <w:szCs w:val="28"/>
          <w:highlight w:val="none"/>
          <w14:textFill>
            <w14:solidFill>
              <w14:schemeClr w14:val="tx1"/>
            </w14:solidFill>
          </w14:textFill>
        </w:rPr>
        <w:t xml:space="preserve">评标办法及标准</w:t>
      </w:r>
      <w:r>
        <w:rPr>
          <w:rFonts w:ascii="宋体" w:hAnsi="宋体" w:eastAsia="宋体"/>
          <w:b/>
          <w:color w:val="000000" w:themeColor="text1"/>
          <w:sz w:val="28"/>
          <w:szCs w:val="28"/>
          <w:highlight w:val="none"/>
          <w14:textFill>
            <w14:solidFill>
              <w14:schemeClr w14:val="tx1"/>
            </w14:solidFill>
          </w14:textFill>
        </w:rPr>
        <w:tab/>
      </w:r>
      <w:r>
        <w:rPr>
          <w:rFonts w:hint="eastAsia" w:ascii="宋体" w:hAnsi="宋体" w:eastAsia="宋体"/>
          <w:b/>
          <w:color w:val="000000" w:themeColor="text1"/>
          <w:sz w:val="28"/>
          <w:szCs w:val="28"/>
          <w:highlight w:val="none"/>
          <w14:textFill>
            <w14:solidFill>
              <w14:schemeClr w14:val="tx1"/>
            </w14:solidFill>
          </w14:textFill>
        </w:rPr>
        <w:t xml:space="preserve">59</w:t>
      </w:r>
      <w:r/>
    </w:p>
    <w:p>
      <w:pPr>
        <w:rPr>
          <w:color w:val="000000" w:themeColor="text1"/>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27"/>
        <w:jc w:val="center"/>
        <w:spacing w:line="360" w:lineRule="auto"/>
        <w:rPr>
          <w:rFonts w:ascii="sans-serif" w:hAnsi="sans-serif" w:eastAsia="sans-serif" w:cs="sans-serif"/>
          <w:color w:val="000000" w:themeColor="text1"/>
          <w:highlight w:val="none"/>
          <w14:textFill>
            <w14:solidFill>
              <w14:schemeClr w14:val="tx1"/>
            </w14:solidFill>
          </w14:textFill>
        </w:rPr>
      </w:pPr>
      <w:r/>
      <w:bookmarkStart w:id="4" w:name="_Toc518558488"/>
      <w:r>
        <w:rPr>
          <w:rFonts w:hint="eastAsia" w:ascii="宋体" w:hAnsi="宋体"/>
          <w:color w:val="000000" w:themeColor="text1"/>
          <w:highlight w:val="none"/>
          <w14:textFill>
            <w14:solidFill>
              <w14:schemeClr w14:val="tx1"/>
            </w14:solidFill>
          </w14:textFill>
        </w:rPr>
        <w:t xml:space="preserve">第一章</w:t>
      </w:r>
      <w:r>
        <w:rPr>
          <w:rFonts w:ascii="宋体" w:hAnsi="宋体"/>
          <w:color w:val="000000" w:themeColor="text1"/>
          <w:highlight w:val="none"/>
          <w14:textFill>
            <w14:solidFill>
              <w14:schemeClr w14:val="tx1"/>
            </w14:solidFill>
          </w14:textFill>
        </w:rPr>
        <w:t xml:space="preserve"> </w:t>
      </w:r>
      <w:bookmarkEnd w:id="1"/>
      <w:r/>
      <w:bookmarkEnd w:id="4"/>
      <w:r>
        <w:rPr>
          <w:rFonts w:hint="eastAsia" w:ascii="宋体" w:hAnsi="宋体"/>
          <w:color w:val="000000" w:themeColor="text1"/>
          <w:highlight w:val="none"/>
          <w14:textFill>
            <w14:solidFill>
              <w14:schemeClr w14:val="tx1"/>
            </w14:solidFill>
          </w14:textFill>
        </w:rPr>
        <w:t xml:space="preserve">招标公告</w:t>
      </w:r>
      <w:r/>
    </w:p>
    <w:p>
      <w:pPr>
        <w:spacing w:line="360" w:lineRule="auto"/>
        <w:rPr>
          <w:rFonts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14:textFill>
            <w14:solidFill>
              <w14:schemeClr w14:val="tx1"/>
            </w14:solidFill>
          </w14:textFill>
        </w:rPr>
        <w:t xml:space="preserve">项目概况</w:t>
      </w:r>
      <w:r/>
    </w:p>
    <w:p>
      <w:pPr>
        <w:ind w:firstLine="420"/>
        <w:spacing w:line="360" w:lineRule="auto"/>
        <w:rPr>
          <w:rFonts w:ascii="宋体" w:hAnsi="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highlight w:val="none"/>
          <w:u w:val="single"/>
          <w14:textFill>
            <w14:solidFill>
              <w14:schemeClr w14:val="tx1"/>
            </w14:solidFill>
          </w14:textFill>
        </w:rPr>
        <w:t xml:space="preserve"> 苏州市中级人民法院灾备云扩容</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采购项目的潜在供应商应在</w:t>
      </w:r>
      <w:r>
        <w:rPr>
          <w:rFonts w:hint="eastAsia" w:ascii="宋体" w:hAnsi="宋体" w:cs="宋体"/>
          <w:color w:val="000000" w:themeColor="text1"/>
          <w:sz w:val="24"/>
          <w:highlight w:val="none"/>
          <w:u w:val="single"/>
          <w14:textFill>
            <w14:solidFill>
              <w14:schemeClr w14:val="tx1"/>
            </w14:solidFill>
          </w14:textFill>
        </w:rPr>
        <w:t xml:space="preserve">“苏采云”系统（网址：http://jszfcg.jsczt.cn/） </w:t>
      </w:r>
      <w:r>
        <w:rPr>
          <w:rFonts w:hint="eastAsia" w:ascii="宋体" w:hAnsi="宋体" w:cs="宋体"/>
          <w:color w:val="000000" w:themeColor="text1"/>
          <w:sz w:val="24"/>
          <w:highlight w:val="none"/>
          <w14:textFill>
            <w14:solidFill>
              <w14:schemeClr w14:val="tx1"/>
            </w14:solidFill>
          </w14:textFill>
        </w:rPr>
        <w:t xml:space="preserve"> 获取采购文件，并于</w:t>
      </w:r>
      <w:r>
        <w:rPr>
          <w:rFonts w:hint="eastAsia" w:ascii="宋体" w:hAnsi="宋体" w:cs="宋体"/>
          <w:color w:val="000000" w:themeColor="text1"/>
          <w:sz w:val="24"/>
          <w:highlight w:val="none"/>
          <w:u w:val="single"/>
          <w:lang w:eastAsia="zh-CN"/>
          <w14:textFill>
            <w14:solidFill>
              <w14:schemeClr w14:val="tx1"/>
            </w14:solidFill>
          </w14:textFill>
        </w:rPr>
        <w:t xml:space="preserve">2025年11月21日</w:t>
      </w:r>
      <w:r>
        <w:rPr>
          <w:rFonts w:hint="eastAsia" w:ascii="宋体" w:hAnsi="宋体" w:cs="宋体"/>
          <w:color w:val="000000" w:themeColor="text1"/>
          <w:sz w:val="24"/>
          <w:highlight w:val="none"/>
          <w:u w:val="single"/>
          <w14:textFill>
            <w14:solidFill>
              <w14:schemeClr w14:val="tx1"/>
            </w14:solidFill>
          </w14:textFill>
        </w:rPr>
        <w:t xml:space="preserve">13</w:t>
      </w:r>
      <w:r>
        <w:rPr>
          <w:rFonts w:hint="eastAsia" w:ascii="宋体" w:hAnsi="宋体" w:cs="宋体"/>
          <w:bCs/>
          <w:color w:val="000000" w:themeColor="text1"/>
          <w:sz w:val="24"/>
          <w:highlight w:val="none"/>
          <w:u w:val="single"/>
          <w14:textFill>
            <w14:solidFill>
              <w14:schemeClr w14:val="tx1"/>
            </w14:solidFill>
          </w14:textFill>
        </w:rPr>
        <w:t xml:space="preserve">点30分</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项目编号：JSZC-320500-XCXC-G2025-0017 </w:t>
      </w:r>
      <w:r/>
    </w:p>
    <w:p>
      <w:pPr>
        <w:ind w:firstLine="480"/>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val="zh-CN"/>
          <w14:textFill>
            <w14:solidFill>
              <w14:schemeClr w14:val="tx1"/>
            </w14:solidFill>
          </w14:textFill>
        </w:rPr>
        <w:t xml:space="preserve">苏州市中级人民法院灾备云扩容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预算金额：150.00万元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最高限价：150.00万元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采购需求：苏州市中级人民法院现有设备已无法满足数据备份及容灾需求，拟采购基于现有架构的一体化灾备云架构硬件设施。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合同履行期限：合同签订后</w:t>
      </w:r>
      <w:r>
        <w:rPr>
          <w:rFonts w:hint="eastAsia" w:ascii="宋体" w:hAnsi="宋体" w:cs="宋体"/>
          <w:color w:val="000000" w:themeColor="text1"/>
          <w:sz w:val="24"/>
          <w:highlight w:val="none"/>
          <w:u w:val="single"/>
          <w14:textFill>
            <w14:solidFill>
              <w14:schemeClr w14:val="tx1"/>
            </w14:solidFill>
          </w14:textFill>
        </w:rPr>
        <w:t xml:space="preserve"> 30 </w:t>
      </w:r>
      <w:r>
        <w:rPr>
          <w:rFonts w:hint="eastAsia" w:ascii="宋体" w:hAnsi="宋体" w:cs="宋体"/>
          <w:color w:val="000000" w:themeColor="text1"/>
          <w:sz w:val="24"/>
          <w:highlight w:val="none"/>
          <w14:textFill>
            <w14:solidFill>
              <w14:schemeClr w14:val="tx1"/>
            </w14:solidFill>
          </w14:textFill>
        </w:rPr>
        <w:t xml:space="preserve">日内完成安装、调试并交付使用。</w:t>
      </w:r>
      <w:r/>
    </w:p>
    <w:p>
      <w:pPr>
        <w:ind w:firstLine="480"/>
        <w:spacing w:line="360" w:lineRule="auto"/>
        <w:tabs>
          <w:tab w:val="left" w:pos="753"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本项目不接受联合体投标。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本项目不接受进口产品。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二、申请人的资格要求：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1.4具有依法缴纳税收和社会保障资金的良好记录；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1.6根据政府采购法及相关法规，招标代理人将对供应商进行信用查询。对列入失信被执行人、重大税收违法案件当事人名单、政府采购严重违法失信行为记录名单的供应商，拒绝其参与政府采购活动。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1.7法律、行政法规规定的其他条件；</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注：单位负责人为同一人或者存在直接控股、管理关系的不同供应商，不得参加同一合同项下的政府采购活动。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三、获取采购文件：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1、时间：自采购公告发布之日起至</w:t>
      </w:r>
      <w:r>
        <w:rPr>
          <w:rFonts w:hint="eastAsia" w:ascii="宋体" w:hAnsi="宋体" w:cs="宋体"/>
          <w:color w:val="000000" w:themeColor="text1"/>
          <w:sz w:val="24"/>
          <w:highlight w:val="none"/>
          <w:lang w:eastAsia="zh-CN"/>
          <w14:textFill>
            <w14:solidFill>
              <w14:schemeClr w14:val="tx1"/>
            </w14:solidFill>
          </w14:textFill>
        </w:rPr>
        <w:t xml:space="preserve">2025年11月</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（北京时间）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854"/>
          <w:rFonts w:hint="eastAsia" w:ascii="宋体" w:hAnsi="宋体" w:cs="宋体"/>
          <w:color w:val="000000" w:themeColor="text1"/>
          <w:sz w:val="24"/>
          <w:highlight w:val="none"/>
          <w14:textFill>
            <w14:solidFill>
              <w14:schemeClr w14:val="tx1"/>
            </w14:solidFill>
          </w14:textFill>
        </w:rPr>
        <w:t xml:space="preserve">http://jszfcg.jsczt.cn/</w:t>
      </w:r>
      <w:r>
        <w:rPr>
          <w:rStyle w:val="854"/>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（3）电子投标准备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cs="宋体"/>
          <w:color w:val="000000" w:themeColor="text1"/>
          <w:sz w:val="22"/>
          <w:szCs w:val="22"/>
          <w:highlight w:val="none"/>
          <w14:textFill>
            <w14:solidFill>
              <w14:schemeClr w14:val="tx1"/>
            </w14:solidFill>
          </w14:textFill>
        </w:rPr>
        <w:t xml:space="preserve">https://czju.suzhou.gov.cn/zfcg/html/content/20231220161910031.shtml</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系统使用指导与咨询：联系电话：18261002950；QQ：智能客服：登录苏采云系统后，联系系统右下方智能客服图标进行咨询。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4、售价：免费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5、本项目采用网上投标电子评标方式。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四、提交投标文件截止时间、开标时间和地点：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1、时间：</w:t>
      </w:r>
      <w:r>
        <w:rPr>
          <w:rFonts w:hint="eastAsia" w:ascii="宋体" w:hAnsi="宋体" w:cs="宋体"/>
          <w:color w:val="000000" w:themeColor="text1"/>
          <w:sz w:val="24"/>
          <w:highlight w:val="none"/>
          <w:lang w:eastAsia="zh-CN"/>
          <w14:textFill>
            <w14:solidFill>
              <w14:schemeClr w14:val="tx1"/>
            </w14:solidFill>
          </w14:textFill>
        </w:rPr>
        <w:t xml:space="preserve">2025年11月21日</w:t>
      </w:r>
      <w:r>
        <w:rPr>
          <w:rFonts w:hint="eastAsia" w:ascii="宋体" w:hAnsi="宋体" w:cs="宋体"/>
          <w:color w:val="000000" w:themeColor="text1"/>
          <w:sz w:val="24"/>
          <w:highlight w:val="none"/>
          <w14:textFill>
            <w14:solidFill>
              <w14:schemeClr w14:val="tx1"/>
            </w14:solidFill>
          </w14:textFill>
        </w:rPr>
        <w:t xml:space="preserve">13:30（北京时间）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Style w:val="854"/>
          <w:rFonts w:hint="eastAsia" w:ascii="宋体" w:hAnsi="宋体" w:cs="宋体"/>
          <w:color w:val="000000" w:themeColor="text1"/>
          <w:sz w:val="24"/>
          <w:highlight w:val="none"/>
          <w14:textFill>
            <w14:solidFill>
              <w14:schemeClr w14:val="tx1"/>
            </w14:solidFill>
          </w14:textFill>
        </w:rPr>
        <w:t xml:space="preserve">http://jszfcg.jsczt.cn/</w:t>
      </w:r>
      <w:r>
        <w:rPr>
          <w:rStyle w:val="854"/>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3、响应文件网上递交，不需要现场参加采购活动，无需提供纸质响应文件。供应商解密开始时间：</w:t>
      </w:r>
      <w:r>
        <w:rPr>
          <w:rFonts w:hint="eastAsia" w:ascii="宋体" w:hAnsi="宋体" w:cs="宋体"/>
          <w:color w:val="000000" w:themeColor="text1"/>
          <w:sz w:val="24"/>
          <w:highlight w:val="none"/>
          <w:lang w:eastAsia="zh-CN"/>
          <w14:textFill>
            <w14:solidFill>
              <w14:schemeClr w14:val="tx1"/>
            </w14:solidFill>
          </w14:textFill>
        </w:rPr>
        <w:t xml:space="preserve">2025年11月21日</w:t>
      </w:r>
      <w:r>
        <w:rPr>
          <w:rFonts w:hint="eastAsia" w:ascii="宋体" w:hAnsi="宋体" w:cs="宋体"/>
          <w:color w:val="000000" w:themeColor="text1"/>
          <w:sz w:val="24"/>
          <w:highlight w:val="none"/>
          <w14:textFill>
            <w14:solidFill>
              <w14:schemeClr w14:val="tx1"/>
            </w14:solidFill>
          </w14:textFill>
        </w:rPr>
        <w:t xml:space="preserve">13点30分（北京时间）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b/>
          <w:bCs/>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五、公告期限</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六、其他补充事项：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1、供应商需保持“苏采云”系统不见面开标大厅在线状态，并按要求在规</w:t>
      </w:r>
      <w:r>
        <w:rPr>
          <w:rFonts w:hint="eastAsia" w:ascii="宋体" w:hAnsi="宋体"/>
          <w:color w:val="000000" w:themeColor="text1"/>
          <w:sz w:val="24"/>
          <w:highlight w:val="none"/>
          <w14:textFill>
            <w14:solidFill>
              <w14:schemeClr w14:val="tx1"/>
            </w14:solidFill>
          </w14:textFill>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4、政府采购监督管理电话：0512-68751335。</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5、本次采购的有关信息将在苏州市政府采购网、江苏政府采购网上发布，敬请留意！</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七、对本次招标提出的询问，请按以下方式联系。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采购人信息</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14:textFill>
            <w14:solidFill>
              <w14:schemeClr w14:val="tx1"/>
            </w14:solidFill>
          </w14:textFill>
        </w:rPr>
        <w:t xml:space="preserve">江苏省苏州市中级人民法院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单位地址：苏州市解放东路488号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联系人：张祺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联系电话：0512-68552270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采购代理机构信息</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联系人：吴苏玲、李文祥、周星宇、葛希璟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话：13338693987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项目联系人：吴苏玲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电话：13338693987</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27"/>
        <w:jc w:val="center"/>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一、说明和释义</w:t>
      </w:r>
      <w: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 </w:t>
      </w:r>
      <w:r>
        <w:rPr>
          <w:rFonts w:hint="eastAsia" w:ascii="宋体" w:hAnsi="宋体"/>
          <w:b/>
          <w:color w:val="000000" w:themeColor="text1"/>
          <w:sz w:val="24"/>
          <w:highlight w:val="none"/>
          <w14:textFill>
            <w14:solidFill>
              <w14:schemeClr w14:val="tx1"/>
            </w14:solidFill>
          </w14:textFill>
        </w:rPr>
        <w:t xml:space="preserve">说明</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1.1</w:t>
      </w:r>
      <w:r>
        <w:rPr>
          <w:rFonts w:hint="eastAsia" w:ascii="宋体" w:hAnsi="宋体"/>
          <w:color w:val="000000" w:themeColor="text1"/>
          <w:highlight w:val="none"/>
          <w14:textFill>
            <w14:solidFill>
              <w14:schemeClr w14:val="tx1"/>
            </w14:solidFill>
          </w14:textFill>
        </w:rPr>
        <w:t xml:space="preserve">本招标文件仅适用于苏州星创招投标咨询有限公司组织的招标活动。</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w:t>
      </w:r>
      <w:r>
        <w:rPr>
          <w:rFonts w:hint="eastAsia" w:ascii="宋体" w:hAnsi="宋体"/>
          <w:color w:val="000000" w:themeColor="text1"/>
          <w:highlight w:val="none"/>
          <w14:textFill>
            <w14:solidFill>
              <w14:schemeClr w14:val="tx1"/>
            </w14:solidFill>
          </w14:textFill>
        </w:rPr>
        <w:t xml:space="preserve">本次招标活动及因本次招标产生的合同受中国法律制约和保护。</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1.3</w:t>
      </w:r>
      <w:r>
        <w:rPr>
          <w:rFonts w:hint="eastAsia" w:ascii="宋体" w:hAnsi="宋体"/>
          <w:color w:val="000000" w:themeColor="text1"/>
          <w:highlight w:val="none"/>
          <w14:textFill>
            <w14:solidFill>
              <w14:schemeClr w14:val="tx1"/>
            </w14:solidFill>
          </w14:textFill>
        </w:rPr>
        <w:t xml:space="preserve">本招标文件的解释权属于苏州星创招投标咨询有限公司。</w:t>
      </w:r>
      <w: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 </w:t>
      </w:r>
      <w:r>
        <w:rPr>
          <w:rFonts w:hint="eastAsia" w:ascii="宋体" w:hAnsi="宋体"/>
          <w:b/>
          <w:color w:val="000000" w:themeColor="text1"/>
          <w:sz w:val="24"/>
          <w:highlight w:val="none"/>
          <w14:textFill>
            <w14:solidFill>
              <w14:schemeClr w14:val="tx1"/>
            </w14:solidFill>
          </w14:textFill>
        </w:rPr>
        <w:t xml:space="preserve">词语释义</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2.1</w:t>
      </w:r>
      <w:r>
        <w:rPr>
          <w:rFonts w:hint="eastAsia" w:ascii="宋体" w:hAnsi="宋体"/>
          <w:color w:val="000000" w:themeColor="text1"/>
          <w:highlight w:val="none"/>
          <w14:textFill>
            <w14:solidFill>
              <w14:schemeClr w14:val="tx1"/>
            </w14:solidFill>
          </w14:textFill>
        </w:rPr>
        <w:t xml:space="preserve">采购人：指依法进行政府采购的国家机关、事业单位、团体组织。</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2.2</w:t>
      </w:r>
      <w:r>
        <w:rPr>
          <w:rFonts w:hint="eastAsia" w:ascii="宋体" w:hAnsi="宋体"/>
          <w:color w:val="000000" w:themeColor="text1"/>
          <w:highlight w:val="none"/>
          <w14:textFill>
            <w14:solidFill>
              <w14:schemeClr w14:val="tx1"/>
            </w14:solidFill>
          </w14:textFill>
        </w:rPr>
        <w:t xml:space="preserve"> 供应商：指向采购人提供货物、工程或服务的法人、其他组织或者自然人。</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2.3投标人：指参加政府采购货物服务投标活动的供应商</w:t>
      </w:r>
      <w:r>
        <w:rPr>
          <w:rFonts w:ascii="宋体" w:hAnsi="宋体"/>
          <w:color w:val="000000" w:themeColor="text1"/>
          <w:highlight w:val="none"/>
          <w14:textFill>
            <w14:solidFill>
              <w14:schemeClr w14:val="tx1"/>
            </w14:solidFill>
          </w14:textFill>
        </w:rPr>
        <w:t xml:space="preserve">。</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2.4采购代理机构：</w:t>
      </w:r>
      <w:r>
        <w:rPr>
          <w:rFonts w:ascii="宋体" w:hAnsi="宋体"/>
          <w:color w:val="000000" w:themeColor="text1"/>
          <w:sz w:val="24"/>
          <w:highlight w:val="none"/>
          <w14:textFill>
            <w14:solidFill>
              <w14:schemeClr w14:val="tx1"/>
            </w14:solidFill>
          </w14:textFill>
        </w:rPr>
        <w:t xml:space="preserve">指依法接受采购人委托，从事货物、工程和服务</w:t>
      </w:r>
      <w:r>
        <w:rPr>
          <w:rFonts w:hint="eastAsia" w:ascii="宋体" w:hAnsi="宋体"/>
          <w:color w:val="000000" w:themeColor="text1"/>
          <w:sz w:val="24"/>
          <w:highlight w:val="none"/>
          <w14:textFill>
            <w14:solidFill>
              <w14:schemeClr w14:val="tx1"/>
            </w14:solidFill>
          </w14:textFill>
        </w:rPr>
        <w:t xml:space="preserve">等政府</w:t>
      </w:r>
      <w:r>
        <w:rPr>
          <w:rFonts w:ascii="宋体" w:hAnsi="宋体"/>
          <w:color w:val="000000" w:themeColor="text1"/>
          <w:sz w:val="24"/>
          <w:highlight w:val="none"/>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招标</w:t>
      </w:r>
      <w:r>
        <w:rPr>
          <w:rFonts w:ascii="宋体" w:hAnsi="宋体"/>
          <w:color w:val="000000" w:themeColor="text1"/>
          <w:sz w:val="24"/>
          <w:highlight w:val="none"/>
          <w14:textFill>
            <w14:solidFill>
              <w14:schemeClr w14:val="tx1"/>
            </w14:solidFill>
          </w14:textFill>
        </w:rPr>
        <w:t xml:space="preserve">代理业务的社会中介机构</w:t>
      </w:r>
      <w:r>
        <w:rPr>
          <w:rFonts w:hint="eastAsia" w:ascii="宋体" w:hAnsi="宋体"/>
          <w:color w:val="000000" w:themeColor="text1"/>
          <w:sz w:val="24"/>
          <w:highlight w:val="none"/>
          <w14:textFill>
            <w14:solidFill>
              <w14:schemeClr w14:val="tx1"/>
            </w14:solidFill>
          </w14:textFill>
        </w:rPr>
        <w:t xml:space="preserve">。</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2.5招标采购单位：采购人及采购代理机构的统称。</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2.6评标委员会：</w:t>
      </w:r>
      <w:r>
        <w:rPr>
          <w:rFonts w:ascii="宋体" w:hAnsi="宋体" w:cs="Arial"/>
          <w:color w:val="000000" w:themeColor="text1"/>
          <w:sz w:val="24"/>
          <w:highlight w:val="none"/>
          <w:shd w:val="clear" w:color="auto" w:fill="ffffff"/>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是指在招标投标和政府采购活动中，依法由采购人代表和有关技术、经济等方面的专家组建，负责对投标文件进行评审并提出评审意见的临时性权威机构。</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7响应：投标人根据采购人或采购代理机构发售的招标文件，编制投标文件并按规定投标的行为。</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8知识产权：指专利权、商标权、著作权等无形财产专有权的统称。</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9天：日历日。</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10交货地点：合同中明确约定的乙方提交的货物最终地点。</w:t>
      </w:r>
      <w:r/>
    </w:p>
    <w:p>
      <w:pPr>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1不可抗力：不能预见、不能避免并且不能克服的客观情况。</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 实质性响应：满足</w:t>
      </w:r>
      <w:r>
        <w:rPr>
          <w:rFonts w:ascii="宋体" w:hAnsi="宋体"/>
          <w:color w:val="000000" w:themeColor="text1"/>
          <w:sz w:val="24"/>
          <w:highlight w:val="none"/>
          <w14:textFill>
            <w14:solidFill>
              <w14:schemeClr w14:val="tx1"/>
            </w14:solidFill>
          </w14:textFill>
        </w:rPr>
        <w:t xml:space="preserve">有关</w:t>
      </w:r>
      <w:r>
        <w:rPr>
          <w:rFonts w:hint="eastAsia" w:ascii="宋体" w:hAnsi="宋体"/>
          <w:color w:val="000000" w:themeColor="text1"/>
          <w:sz w:val="24"/>
          <w:highlight w:val="none"/>
          <w14:textFill>
            <w14:solidFill>
              <w14:schemeClr w14:val="tx1"/>
            </w14:solidFill>
          </w14:textFill>
        </w:rPr>
        <w:t xml:space="preserve">本次采购</w:t>
      </w:r>
      <w:r>
        <w:rPr>
          <w:rFonts w:ascii="宋体" w:hAnsi="宋体"/>
          <w:color w:val="000000" w:themeColor="text1"/>
          <w:sz w:val="24"/>
          <w:highlight w:val="none"/>
          <w14:textFill>
            <w14:solidFill>
              <w14:schemeClr w14:val="tx1"/>
            </w14:solidFill>
          </w14:textFill>
        </w:rPr>
        <w:t xml:space="preserve">标的、数量、质量、价款或者报酬、履行期限、履行地点和方式、违约责任和解决争议方法等</w:t>
      </w:r>
      <w:r>
        <w:rPr>
          <w:rFonts w:hint="eastAsia" w:ascii="宋体" w:hAnsi="宋体"/>
          <w:color w:val="000000" w:themeColor="text1"/>
          <w:sz w:val="24"/>
          <w:highlight w:val="none"/>
          <w14:textFill>
            <w14:solidFill>
              <w14:schemeClr w14:val="tx1"/>
            </w14:solidFill>
          </w14:textFill>
        </w:rPr>
        <w:t xml:space="preserve">要求。</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 进口产品：通过中国海关报关验放进入中国境内且产自关境外的产品。</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w:t>
      </w:r>
      <w:r>
        <w:rPr>
          <w:rFonts w:ascii="宋体" w:hAnsi="宋体"/>
          <w:color w:val="000000" w:themeColor="text1"/>
          <w:sz w:val="24"/>
          <w:highlight w:val="none"/>
          <w14:textFill>
            <w14:solidFill>
              <w14:schemeClr w14:val="tx1"/>
            </w14:solidFill>
          </w14:textFill>
        </w:rPr>
        <w:t xml:space="preserve">书面形式：指</w:t>
      </w:r>
      <w:r>
        <w:rPr>
          <w:rFonts w:hint="eastAsia" w:ascii="宋体" w:hAnsi="宋体"/>
          <w:color w:val="000000" w:themeColor="text1"/>
          <w:sz w:val="24"/>
          <w:highlight w:val="none"/>
          <w14:textFill>
            <w14:solidFill>
              <w14:schemeClr w14:val="tx1"/>
            </w14:solidFill>
          </w14:textFill>
        </w:rPr>
        <w:t xml:space="preserve">书面文字、</w:t>
      </w:r>
      <w:r>
        <w:rPr>
          <w:rFonts w:ascii="宋体" w:hAnsi="宋体"/>
          <w:color w:val="000000" w:themeColor="text1"/>
          <w:sz w:val="24"/>
          <w:highlight w:val="none"/>
          <w14:textFill>
            <w14:solidFill>
              <w14:schemeClr w14:val="tx1"/>
            </w14:solidFill>
          </w14:textFill>
        </w:rPr>
        <w:t xml:space="preserve">合同书、信件和传真等可以有形地表现所载内容的形式。</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投标人</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3. </w:t>
      </w:r>
      <w:r>
        <w:rPr>
          <w:rFonts w:hint="eastAsia" w:ascii="宋体" w:hAnsi="宋体"/>
          <w:b/>
          <w:color w:val="000000" w:themeColor="text1"/>
          <w:sz w:val="24"/>
          <w:highlight w:val="none"/>
          <w14:textFill>
            <w14:solidFill>
              <w14:schemeClr w14:val="tx1"/>
            </w14:solidFill>
          </w14:textFill>
        </w:rPr>
        <w:t xml:space="preserve">合格投标人的基本条件</w:t>
      </w:r>
      <w:r/>
    </w:p>
    <w:p>
      <w:pPr>
        <w:ind w:firstLine="42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w:t>
      </w:r>
      <w:r>
        <w:rPr>
          <w:rFonts w:hint="eastAsia" w:ascii="宋体" w:hAnsi="宋体"/>
          <w:color w:val="000000" w:themeColor="text1"/>
          <w:sz w:val="24"/>
          <w:highlight w:val="none"/>
          <w14:textFill>
            <w14:solidFill>
              <w14:schemeClr w14:val="tx1"/>
            </w14:solidFill>
          </w14:textFill>
        </w:rPr>
        <w:t xml:space="preserve">符合《中华人民共和国政府采购法》第二十二条第一款之规定；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4．合格投标人的落实政府采购政策资格要求、特定资格条件</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详见前附表规定。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5．投标人必须进入苏采云系统进行网上报名，否则不能参加本次招标活动。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投标人代表</w:t>
      </w:r>
      <w:r/>
    </w:p>
    <w:p>
      <w:pPr>
        <w:ind w:firstLine="48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w:t>
      </w:r>
      <w:r>
        <w:rPr>
          <w:rFonts w:ascii="宋体" w:hAnsi="宋体"/>
          <w:color w:val="000000" w:themeColor="text1"/>
          <w:sz w:val="24"/>
          <w:highlight w:val="none"/>
          <w14:textFill>
            <w14:solidFill>
              <w14:schemeClr w14:val="tx1"/>
            </w14:solidFill>
          </w14:textFill>
        </w:rPr>
        <w:t xml:space="preserve">指全权代表投标</w:t>
      </w:r>
      <w:r>
        <w:rPr>
          <w:rFonts w:hint="eastAsia" w:ascii="宋体" w:hAnsi="宋体"/>
          <w:color w:val="000000" w:themeColor="text1"/>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参加投标活动并签署投标文件的人，如果投标</w:t>
      </w:r>
      <w:r>
        <w:rPr>
          <w:rFonts w:hint="eastAsia" w:ascii="宋体" w:hAnsi="宋体"/>
          <w:color w:val="000000" w:themeColor="text1"/>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代表不是法人代表，须持有《法人代表授权</w:t>
      </w:r>
      <w:r>
        <w:rPr>
          <w:rFonts w:hint="eastAsia" w:ascii="宋体" w:hAnsi="宋体"/>
          <w:color w:val="000000" w:themeColor="text1"/>
          <w:sz w:val="24"/>
          <w:highlight w:val="none"/>
          <w14:textFill>
            <w14:solidFill>
              <w14:schemeClr w14:val="tx1"/>
            </w14:solidFill>
          </w14:textFill>
        </w:rPr>
        <w:t xml:space="preserve">委托</w:t>
      </w:r>
      <w:r>
        <w:rPr>
          <w:rFonts w:ascii="宋体" w:hAnsi="宋体"/>
          <w:color w:val="000000" w:themeColor="text1"/>
          <w:sz w:val="24"/>
          <w:highlight w:val="none"/>
          <w14:textFill>
            <w14:solidFill>
              <w14:schemeClr w14:val="tx1"/>
            </w14:solidFill>
          </w14:textFill>
        </w:rPr>
        <w:t xml:space="preserve">书》（详见统一格式）</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联合投标（本项目不接受联合体投标）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7.1联合体各方中至少应当有一方符合本招标文件规定的投标人资格条件的特定条件。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2联合体各方应签订联合投标协议（</w:t>
      </w:r>
      <w:r>
        <w:rPr>
          <w:rFonts w:ascii="宋体" w:hAnsi="宋体"/>
          <w:color w:val="000000" w:themeColor="text1"/>
          <w:sz w:val="24"/>
          <w:highlight w:val="none"/>
          <w14:textFill>
            <w14:solidFill>
              <w14:schemeClr w14:val="tx1"/>
            </w14:solidFill>
          </w14:textFill>
        </w:rPr>
        <w:t xml:space="preserve">详见统一格式)</w:t>
      </w:r>
      <w:r>
        <w:rPr>
          <w:rFonts w:hint="eastAsia" w:ascii="宋体" w:hAnsi="宋体"/>
          <w:color w:val="000000" w:themeColor="text1"/>
          <w:sz w:val="24"/>
          <w:highlight w:val="none"/>
          <w14:textFill>
            <w14:solidFill>
              <w14:schemeClr w14:val="tx1"/>
            </w14:solidFill>
          </w14:textFill>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3联合体各成员之间签订的联合体协议书应与投标文件一起递交。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4参加联合体的各成员不得再以自己名义单独投标，</w:t>
      </w:r>
      <w:r>
        <w:rPr>
          <w:rFonts w:ascii="宋体" w:hAnsi="宋体"/>
          <w:color w:val="000000" w:themeColor="text1"/>
          <w:sz w:val="24"/>
          <w:highlight w:val="none"/>
          <w14:textFill>
            <w14:solidFill>
              <w14:schemeClr w14:val="tx1"/>
            </w14:solidFill>
          </w14:textFill>
        </w:rPr>
        <w:t xml:space="preserve">也不得同时参加两个或两个以上</w:t>
      </w:r>
      <w:r>
        <w:rPr>
          <w:rFonts w:hint="eastAsia" w:ascii="宋体" w:hAnsi="宋体"/>
          <w:color w:val="000000" w:themeColor="text1"/>
          <w:sz w:val="24"/>
          <w:highlight w:val="none"/>
          <w14:textFill>
            <w14:solidFill>
              <w14:schemeClr w14:val="tx1"/>
            </w14:solidFill>
          </w14:textFill>
        </w:rPr>
        <w:t xml:space="preserve">的联合体投标。如有违反将取消该联合体各成员的投标资格。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7.5联合体各方应当共同与采购人签订合同，就采购合同约定的事项对采购人承担连带责任。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7.6 除非另有规定或说明，本文中“投标人”一词亦指联合体各成员。</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8</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投标费用</w:t>
      </w:r>
      <w:r>
        <w:rPr>
          <w:rFonts w:ascii="宋体" w:hAnsi="宋体"/>
          <w:b/>
          <w:color w:val="000000" w:themeColor="text1"/>
          <w:sz w:val="24"/>
          <w:highlight w:val="none"/>
          <w14:textFill>
            <w14:solidFill>
              <w14:schemeClr w14:val="tx1"/>
            </w14:solidFill>
          </w14:textFill>
        </w:rPr>
        <w:t xml:space="preserve"> </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8.1投标人应自行承担所有准备及参加投标的相关费用。不论投标结果如何，采购人和采购代理机构在任何情况下均无义务也无责任承担这些费用。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招标文件说明</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9</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招标文件</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招标文件及其更正文件不是直接从采购代理机构处获得的，招标采购单位对招标文件及其补遗的真实性、完整性不承担任何责任。</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10.现场考察 （不涉及此条的忽略）</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2投标人应规定对有关现场和周围环境进行考察，以获取编制投标文件和签署合同所需的信息。考察现场所发生的费用由投标人自己承担。</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3招标采购单位向投标人提供的有关现场的资料和数据，是招标采购单位现有的并认为能使投标人可利用的资料。招标采购单位对投标人由此而做出的推论、理解和结论概不负责。</w:t>
      </w:r>
      <w:r/>
    </w:p>
    <w:p>
      <w:pPr>
        <w:pStyle w:val="834"/>
        <w:ind w:firstLine="60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10.4</w:t>
      </w:r>
      <w:r>
        <w:rPr>
          <w:rFonts w:ascii="宋体" w:hAnsi="宋体"/>
          <w:color w:val="000000" w:themeColor="text1"/>
          <w:highlight w:val="none"/>
          <w14:textFill>
            <w14:solidFill>
              <w14:schemeClr w14:val="tx1"/>
            </w14:solidFill>
          </w14:textFill>
        </w:rPr>
        <w:t xml:space="preserve">经</w:t>
      </w:r>
      <w:r>
        <w:rPr>
          <w:rFonts w:hint="eastAsia" w:ascii="宋体" w:hAnsi="宋体"/>
          <w:color w:val="000000" w:themeColor="text1"/>
          <w:highlight w:val="none"/>
          <w14:textFill>
            <w14:solidFill>
              <w14:schemeClr w14:val="tx1"/>
            </w14:solidFill>
          </w14:textFill>
        </w:rPr>
        <w:t xml:space="preserve">招标采购单位</w:t>
      </w:r>
      <w:r>
        <w:rPr>
          <w:rFonts w:ascii="宋体" w:hAnsi="宋体"/>
          <w:color w:val="000000" w:themeColor="text1"/>
          <w:highlight w:val="none"/>
          <w14:textFill>
            <w14:solidFill>
              <w14:schemeClr w14:val="tx1"/>
            </w14:solidFill>
          </w14:textFill>
        </w:rPr>
        <w:t xml:space="preserve">允许，投标人可为</w:t>
      </w:r>
      <w:r>
        <w:rPr>
          <w:rFonts w:hint="eastAsia" w:ascii="宋体" w:hAnsi="宋体"/>
          <w:color w:val="000000" w:themeColor="text1"/>
          <w:highlight w:val="none"/>
          <w14:textFill>
            <w14:solidFill>
              <w14:schemeClr w14:val="tx1"/>
            </w14:solidFill>
          </w14:textFill>
        </w:rPr>
        <w:t xml:space="preserve">考察</w:t>
      </w:r>
      <w:r>
        <w:rPr>
          <w:rFonts w:ascii="宋体" w:hAnsi="宋体"/>
          <w:color w:val="000000" w:themeColor="text1"/>
          <w:highlight w:val="none"/>
          <w14:textFill>
            <w14:solidFill>
              <w14:schemeClr w14:val="tx1"/>
            </w14:solidFill>
          </w14:textFill>
        </w:rPr>
        <w:t xml:space="preserve">目的进入</w:t>
      </w:r>
      <w:r>
        <w:rPr>
          <w:rFonts w:hint="eastAsia" w:ascii="宋体" w:hAnsi="宋体"/>
          <w:color w:val="000000" w:themeColor="text1"/>
          <w:highlight w:val="none"/>
          <w14:textFill>
            <w14:solidFill>
              <w14:schemeClr w14:val="tx1"/>
            </w14:solidFill>
          </w14:textFill>
        </w:rPr>
        <w:t xml:space="preserve">招标采购单位</w:t>
      </w:r>
      <w:r>
        <w:rPr>
          <w:rFonts w:ascii="宋体" w:hAnsi="宋体"/>
          <w:color w:val="000000" w:themeColor="text1"/>
          <w:highlight w:val="none"/>
          <w14:textFill>
            <w14:solidFill>
              <w14:schemeClr w14:val="tx1"/>
            </w14:solidFill>
          </w14:textFill>
        </w:rPr>
        <w:t xml:space="preserve">的项目现场，但投标人不得因此使</w:t>
      </w:r>
      <w:r>
        <w:rPr>
          <w:rFonts w:hint="eastAsia" w:ascii="宋体" w:hAnsi="宋体"/>
          <w:color w:val="000000" w:themeColor="text1"/>
          <w:highlight w:val="none"/>
          <w14:textFill>
            <w14:solidFill>
              <w14:schemeClr w14:val="tx1"/>
            </w14:solidFill>
          </w14:textFill>
        </w:rPr>
        <w:t xml:space="preserve">招标采购单位</w:t>
      </w:r>
      <w:r>
        <w:rPr>
          <w:rFonts w:ascii="宋体" w:hAnsi="宋体"/>
          <w:color w:val="000000" w:themeColor="text1"/>
          <w:highlight w:val="none"/>
          <w14:textFill>
            <w14:solidFill>
              <w14:schemeClr w14:val="tx1"/>
            </w14:solidFill>
          </w14:textFill>
        </w:rPr>
        <w:t xml:space="preserve">承担有关的责任和蒙受损失。投标人应承担</w:t>
      </w:r>
      <w:r>
        <w:rPr>
          <w:rFonts w:hint="eastAsia" w:ascii="宋体" w:hAnsi="宋体"/>
          <w:color w:val="000000" w:themeColor="text1"/>
          <w:highlight w:val="none"/>
          <w14:textFill>
            <w14:solidFill>
              <w14:schemeClr w14:val="tx1"/>
            </w14:solidFill>
          </w14:textFill>
        </w:rPr>
        <w:t xml:space="preserve">考察</w:t>
      </w:r>
      <w:r>
        <w:rPr>
          <w:rFonts w:ascii="宋体" w:hAnsi="宋体"/>
          <w:color w:val="000000" w:themeColor="text1"/>
          <w:highlight w:val="none"/>
          <w14:textFill>
            <w14:solidFill>
              <w14:schemeClr w14:val="tx1"/>
            </w14:solidFill>
          </w14:textFill>
        </w:rPr>
        <w:t xml:space="preserve">现场的责任和风险。</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w:t>
      </w:r>
      <w:r>
        <w:rPr>
          <w:rFonts w:ascii="宋体" w:hAnsi="宋体"/>
          <w:color w:val="000000" w:themeColor="text1"/>
          <w:sz w:val="24"/>
          <w:highlight w:val="none"/>
          <w14:textFill>
            <w14:solidFill>
              <w14:schemeClr w14:val="tx1"/>
            </w14:solidFill>
          </w14:textFill>
        </w:rPr>
        <w:t xml:space="preserve">投标人应在现场</w:t>
      </w:r>
      <w:r>
        <w:rPr>
          <w:rFonts w:hint="eastAsia" w:ascii="宋体" w:hAnsi="宋体"/>
          <w:color w:val="000000" w:themeColor="text1"/>
          <w:sz w:val="24"/>
          <w:highlight w:val="none"/>
          <w14:textFill>
            <w14:solidFill>
              <w14:schemeClr w14:val="tx1"/>
            </w14:solidFill>
          </w14:textFill>
        </w:rPr>
        <w:t xml:space="preserve">考察</w:t>
      </w:r>
      <w:r>
        <w:rPr>
          <w:rFonts w:ascii="宋体" w:hAnsi="宋体"/>
          <w:color w:val="000000" w:themeColor="text1"/>
          <w:sz w:val="24"/>
          <w:highlight w:val="none"/>
          <w14:textFill>
            <w14:solidFill>
              <w14:schemeClr w14:val="tx1"/>
            </w14:solidFill>
          </w14:textFill>
        </w:rPr>
        <w:t xml:space="preserve">时，熟悉现场及周围交通道路等情况，以获得一切可能影响其投标的直接资料。投标人中标后，不得以不完全了解现场情况为理由而向</w:t>
      </w:r>
      <w:r>
        <w:rPr>
          <w:rFonts w:hint="eastAsia" w:ascii="宋体" w:hAnsi="宋体"/>
          <w:color w:val="000000" w:themeColor="text1"/>
          <w:sz w:val="24"/>
          <w:highlight w:val="none"/>
          <w14:textFill>
            <w14:solidFill>
              <w14:schemeClr w14:val="tx1"/>
            </w14:solidFill>
          </w14:textFill>
        </w:rPr>
        <w:t xml:space="preserve">招标采购单位</w:t>
      </w:r>
      <w:r>
        <w:rPr>
          <w:rFonts w:ascii="宋体" w:hAnsi="宋体"/>
          <w:color w:val="000000" w:themeColor="text1"/>
          <w:sz w:val="24"/>
          <w:highlight w:val="none"/>
          <w14:textFill>
            <w14:solidFill>
              <w14:schemeClr w14:val="tx1"/>
            </w14:solidFill>
          </w14:textFill>
        </w:rPr>
        <w:t xml:space="preserve">提出任何索赔的要求</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对此</w:t>
      </w:r>
      <w:r>
        <w:rPr>
          <w:rFonts w:hint="eastAsia" w:ascii="宋体" w:hAnsi="宋体"/>
          <w:color w:val="000000" w:themeColor="text1"/>
          <w:sz w:val="24"/>
          <w:highlight w:val="none"/>
          <w14:textFill>
            <w14:solidFill>
              <w14:schemeClr w14:val="tx1"/>
            </w14:solidFill>
          </w14:textFill>
        </w:rPr>
        <w:t xml:space="preserve">招标采购单位</w:t>
      </w:r>
      <w:r>
        <w:rPr>
          <w:rFonts w:ascii="宋体" w:hAnsi="宋体"/>
          <w:color w:val="000000" w:themeColor="text1"/>
          <w:sz w:val="24"/>
          <w:highlight w:val="none"/>
          <w14:textFill>
            <w14:solidFill>
              <w14:schemeClr w14:val="tx1"/>
            </w14:solidFill>
          </w14:textFill>
        </w:rPr>
        <w:t xml:space="preserve">不承担任何责任并将不作任何答复与考虑。</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11</w:t>
      </w:r>
      <w:r>
        <w:rPr>
          <w:rFonts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投标答疑</w:t>
      </w:r>
      <w:r/>
    </w:p>
    <w:p>
      <w:pPr>
        <w:ind w:firstLine="482"/>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11</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投标人如有疑问需要澄清，可通过公告中的联系方式及时提出，采购人或采购代理机构将予以解答，但答复内容不得涉及商业秘密。</w:t>
      </w:r>
      <w:r/>
    </w:p>
    <w:p>
      <w:pPr>
        <w:ind w:firstLine="12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11.3迟于前附表规定</w:t>
      </w:r>
      <w:r>
        <w:rPr>
          <w:rFonts w:ascii="宋体" w:hAnsi="宋体"/>
          <w:bCs/>
          <w:color w:val="000000" w:themeColor="text1"/>
          <w:sz w:val="24"/>
          <w:highlight w:val="none"/>
          <w14:textFill>
            <w14:solidFill>
              <w14:schemeClr w14:val="tx1"/>
            </w14:solidFill>
          </w14:textFill>
        </w:rPr>
        <w:t xml:space="preserve">时间</w:t>
      </w:r>
      <w:r>
        <w:rPr>
          <w:rFonts w:hint="eastAsia" w:ascii="宋体" w:hAnsi="宋体"/>
          <w:bCs/>
          <w:color w:val="000000" w:themeColor="text1"/>
          <w:sz w:val="24"/>
          <w:highlight w:val="none"/>
          <w14:textFill>
            <w14:solidFill>
              <w14:schemeClr w14:val="tx1"/>
            </w14:solidFill>
          </w14:textFill>
        </w:rPr>
        <w:t xml:space="preserve">的询问或提交的疑问或未在</w:t>
      </w:r>
      <w:r>
        <w:rPr>
          <w:rFonts w:hint="eastAsia" w:ascii="宋体" w:hAnsi="宋体"/>
          <w:color w:val="000000" w:themeColor="text1"/>
          <w:sz w:val="24"/>
          <w:highlight w:val="none"/>
          <w14:textFill>
            <w14:solidFill>
              <w14:schemeClr w14:val="tx1"/>
            </w14:solidFill>
          </w14:textFill>
        </w:rPr>
        <w:t xml:space="preserve">开标前答疑会提出的</w:t>
      </w:r>
      <w:r>
        <w:rPr>
          <w:rFonts w:hint="eastAsia" w:ascii="宋体" w:hAnsi="宋体"/>
          <w:bCs/>
          <w:color w:val="000000" w:themeColor="text1"/>
          <w:sz w:val="24"/>
          <w:highlight w:val="none"/>
          <w14:textFill>
            <w14:solidFill>
              <w14:schemeClr w14:val="tx1"/>
            </w14:solidFill>
          </w14:textFill>
        </w:rPr>
        <w:t xml:space="preserve">，采购人和采购代理机构有权拒绝回答，也不承担由此带来的对投标人投标结果的影响。</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12</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招标文件的澄清和修改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themeColor="text1"/>
          <w:sz w:val="24"/>
          <w:highlight w:val="none"/>
          <w14:textFill>
            <w14:solidFill>
              <w14:schemeClr w14:val="tx1"/>
            </w14:solidFill>
          </w14:textFill>
        </w:rPr>
        <w:t xml:space="preserve">，对投标人起约束作用</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12.2</w:t>
      </w:r>
      <w:r>
        <w:rPr>
          <w:rFonts w:hint="eastAsia" w:ascii="宋体" w:hAnsi="宋体"/>
          <w:color w:val="000000" w:themeColor="text1"/>
          <w:sz w:val="24"/>
          <w:highlight w:val="none"/>
          <w14:textFill>
            <w14:solidFill>
              <w14:schemeClr w14:val="tx1"/>
            </w14:solidFill>
          </w14:textFill>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12.3招标文件的更正（含澄清、修改等）内容与原招标文件</w:t>
      </w:r>
      <w:r>
        <w:rPr>
          <w:rFonts w:ascii="宋体" w:hAnsi="宋体"/>
          <w:bCs/>
          <w:color w:val="000000" w:themeColor="text1"/>
          <w:sz w:val="24"/>
          <w:highlight w:val="none"/>
          <w14:textFill>
            <w14:solidFill>
              <w14:schemeClr w14:val="tx1"/>
            </w14:solidFill>
          </w14:textFill>
        </w:rPr>
        <w:t xml:space="preserve">在同一内容</w:t>
      </w:r>
      <w:r>
        <w:rPr>
          <w:rFonts w:hint="eastAsia" w:ascii="宋体" w:hAnsi="宋体"/>
          <w:bCs/>
          <w:color w:val="000000" w:themeColor="text1"/>
          <w:sz w:val="24"/>
          <w:highlight w:val="none"/>
          <w14:textFill>
            <w14:solidFill>
              <w14:schemeClr w14:val="tx1"/>
            </w14:solidFill>
          </w14:textFill>
        </w:rPr>
        <w:t xml:space="preserve">上表述不一致时，以发出日期最接近开标时间的公告为准。</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投标文件说明</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3</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投标文件计量单位和使用文字</w:t>
      </w:r>
      <w:r/>
    </w:p>
    <w:p>
      <w:pPr>
        <w:pStyle w:val="834"/>
        <w:ind w:firstLine="501"/>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13.1投标文件中所使用的计量单位，除招标文件中有特殊要求外，均</w:t>
      </w:r>
      <w:r>
        <w:rPr>
          <w:rFonts w:ascii="宋体" w:hAnsi="宋体"/>
          <w:color w:val="000000" w:themeColor="text1"/>
          <w:highlight w:val="none"/>
          <w14:textFill>
            <w14:solidFill>
              <w14:schemeClr w14:val="tx1"/>
            </w14:solidFill>
          </w14:textFill>
        </w:rPr>
        <w:t xml:space="preserve">应使用中华人民共和国法定计量单位</w:t>
      </w:r>
      <w:r>
        <w:rPr>
          <w:rFonts w:hint="eastAsia" w:ascii="宋体" w:hAnsi="宋体"/>
          <w:color w:val="000000" w:themeColor="text1"/>
          <w:highlight w:val="none"/>
          <w14:textFill>
            <w14:solidFill>
              <w14:schemeClr w14:val="tx1"/>
            </w14:solidFill>
          </w14:textFill>
        </w:rPr>
        <w:t xml:space="preserve">。 </w:t>
      </w:r>
      <w:r/>
    </w:p>
    <w:p>
      <w:pPr>
        <w:ind w:firstLine="501"/>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bookmarkStart w:id="5" w:name="_Toc217446047"/>
      <w:r>
        <w:rPr>
          <w:rFonts w:hint="eastAsia" w:ascii="宋体" w:hAnsi="宋体"/>
          <w:b/>
          <w:color w:val="000000" w:themeColor="text1"/>
          <w:sz w:val="24"/>
          <w:highlight w:val="none"/>
          <w14:textFill>
            <w14:solidFill>
              <w14:schemeClr w14:val="tx1"/>
            </w14:solidFill>
          </w14:textFill>
        </w:rPr>
        <w:t xml:space="preserve">4</w:t>
      </w:r>
      <w:r>
        <w:rPr>
          <w:rFonts w:ascii="宋体" w:hAnsi="宋体"/>
          <w:b/>
          <w:color w:val="000000" w:themeColor="text1"/>
          <w:sz w:val="24"/>
          <w:highlight w:val="none"/>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 知识产权</w:t>
      </w:r>
      <w:bookmarkEnd w:id="5"/>
      <w:r/>
      <w:r/>
    </w:p>
    <w:p>
      <w:pPr>
        <w:pStyle w:val="834"/>
        <w:ind w:firstLine="501"/>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4</w:t>
      </w: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5</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投标文件的组成</w:t>
      </w:r>
      <w:r/>
    </w:p>
    <w:p>
      <w:pPr>
        <w:ind w:firstLine="60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基本目录：</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法定代表人授权委托书</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如有授权，</w:t>
      </w:r>
      <w:r>
        <w:rPr>
          <w:rFonts w:ascii="宋体" w:hAnsi="宋体"/>
          <w:color w:val="000000" w:themeColor="text1"/>
          <w:sz w:val="24"/>
          <w:highlight w:val="none"/>
          <w14:textFill>
            <w14:solidFill>
              <w14:schemeClr w14:val="tx1"/>
            </w14:solidFill>
          </w14:textFill>
        </w:rPr>
        <w:t xml:space="preserve">详见投标文件格式）</w:t>
      </w:r>
      <w:r>
        <w:rPr>
          <w:rFonts w:hint="eastAsia" w:ascii="宋体" w:hAnsi="宋体"/>
          <w:color w:val="000000" w:themeColor="text1"/>
          <w:sz w:val="24"/>
          <w:highlight w:val="none"/>
          <w14:textFill>
            <w14:solidFill>
              <w14:schemeClr w14:val="tx1"/>
            </w14:solidFill>
          </w14:textFill>
        </w:rPr>
        <w:t xml:space="preserve">；</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 </w:t>
      </w: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法</w:t>
      </w:r>
      <w:r>
        <w:rPr>
          <w:rFonts w:hint="eastAsia" w:ascii="宋体" w:hAnsi="宋体"/>
          <w:color w:val="000000" w:themeColor="text1"/>
          <w:sz w:val="24"/>
          <w:highlight w:val="none"/>
          <w14:textFill>
            <w14:solidFill>
              <w14:schemeClr w14:val="tx1"/>
            </w14:solidFill>
          </w14:textFill>
        </w:rPr>
        <w:t xml:space="preserve">定代表</w:t>
      </w:r>
      <w:r>
        <w:rPr>
          <w:rFonts w:ascii="宋体" w:hAnsi="宋体"/>
          <w:color w:val="000000" w:themeColor="text1"/>
          <w:sz w:val="24"/>
          <w:highlight w:val="none"/>
          <w14:textFill>
            <w14:solidFill>
              <w14:schemeClr w14:val="tx1"/>
            </w14:solidFill>
          </w14:textFill>
        </w:rPr>
        <w:t xml:space="preserve">人身份证</w:t>
      </w:r>
      <w:r>
        <w:rPr>
          <w:rFonts w:hint="eastAsia" w:ascii="宋体" w:hAnsi="宋体"/>
          <w:color w:val="000000" w:themeColor="text1"/>
          <w:sz w:val="24"/>
          <w:highlight w:val="none"/>
          <w14:textFill>
            <w14:solidFill>
              <w14:schemeClr w14:val="tx1"/>
            </w14:solidFill>
          </w14:textFill>
        </w:rPr>
        <w:t xml:space="preserve">扫描件、授权委托人</w:t>
      </w:r>
      <w:r>
        <w:rPr>
          <w:rFonts w:ascii="宋体" w:hAnsi="宋体"/>
          <w:color w:val="000000" w:themeColor="text1"/>
          <w:sz w:val="24"/>
          <w:highlight w:val="none"/>
          <w14:textFill>
            <w14:solidFill>
              <w14:schemeClr w14:val="tx1"/>
            </w14:solidFill>
          </w14:textFill>
        </w:rPr>
        <w:t xml:space="preserve">身份证</w:t>
      </w:r>
      <w:r>
        <w:rPr>
          <w:rFonts w:hint="eastAsia" w:ascii="宋体" w:hAnsi="宋体"/>
          <w:color w:val="000000" w:themeColor="text1"/>
          <w:sz w:val="24"/>
          <w:highlight w:val="none"/>
          <w14:textFill>
            <w14:solidFill>
              <w14:schemeClr w14:val="tx1"/>
            </w14:solidFill>
          </w14:textFill>
        </w:rPr>
        <w:t xml:space="preserve">扫描件；</w:t>
      </w:r>
      <w:r/>
    </w:p>
    <w:p>
      <w:pPr>
        <w:ind w:firstLine="597"/>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15.3《开标一览表》</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统一格式，用于唱标</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59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4 </w:t>
      </w: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人基本</w:t>
      </w:r>
      <w:r>
        <w:rPr>
          <w:rFonts w:ascii="宋体" w:hAnsi="宋体"/>
          <w:color w:val="000000" w:themeColor="text1"/>
          <w:sz w:val="24"/>
          <w:highlight w:val="none"/>
          <w14:textFill>
            <w14:solidFill>
              <w14:schemeClr w14:val="tx1"/>
            </w14:solidFill>
          </w14:textFill>
        </w:rPr>
        <w:t xml:space="preserve">情况表（详见投标文件格式）；</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15.5拟投入项目组人员一览表</w:t>
      </w:r>
      <w:r>
        <w:rPr>
          <w:rFonts w:ascii="宋体" w:hAnsi="宋体"/>
          <w:color w:val="000000" w:themeColor="text1"/>
          <w:sz w:val="24"/>
          <w:highlight w:val="none"/>
          <w14:textFill>
            <w14:solidFill>
              <w14:schemeClr w14:val="tx1"/>
            </w14:solidFill>
          </w14:textFill>
        </w:rPr>
        <w:t xml:space="preserve">（详见投标文件格式）</w:t>
      </w:r>
      <w:r>
        <w:rPr>
          <w:rFonts w:hint="eastAsia" w:ascii="宋体" w:hAnsi="宋体" w:cs="宋体"/>
          <w:color w:val="000000" w:themeColor="text1"/>
          <w:sz w:val="24"/>
          <w:highlight w:val="none"/>
          <w14:textFill>
            <w14:solidFill>
              <w14:schemeClr w14:val="tx1"/>
            </w14:solidFill>
          </w14:textFill>
        </w:rPr>
        <w:t xml:space="preserve">；</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15.6 </w:t>
      </w:r>
      <w:r>
        <w:rPr>
          <w:rFonts w:hint="eastAsia" w:ascii="宋体" w:hAnsi="宋体" w:cs="宋体"/>
          <w:color w:val="000000" w:themeColor="text1"/>
          <w:sz w:val="24"/>
          <w:highlight w:val="none"/>
          <w14:textFill>
            <w14:solidFill>
              <w14:schemeClr w14:val="tx1"/>
            </w14:solidFill>
          </w14:textFill>
        </w:rPr>
        <w:t xml:space="preserve">针对本次项目的设备安装实施方案，内容包括但不限于设备供货、安装、调试、验收方案（需具体说明交货进度计划、安装调试验收的方案等内容）；</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15.7产品质量承诺；</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15.8货物的技术服务、售后服务体系承诺与售后服务方案（包括服务承诺及优惠条件）、培训方案、其中售后服务承诺书格式见投标文件格式；</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15.9满足“节能产品和环境标志产品”政策规定的证明（如属于）；</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10</w:t>
      </w:r>
      <w:r>
        <w:rPr>
          <w:rFonts w:ascii="宋体" w:hAnsi="宋体"/>
          <w:color w:val="000000" w:themeColor="text1"/>
          <w:sz w:val="24"/>
          <w:highlight w:val="none"/>
          <w14:textFill>
            <w14:solidFill>
              <w14:schemeClr w14:val="tx1"/>
            </w14:solidFill>
          </w14:textFill>
        </w:rPr>
        <w:t xml:space="preserve">关于资格文件的声明函（详见投标文件格式）；</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15.11招标文件技术部分规定提交的其他相关材料；</w:t>
      </w:r>
      <w:r/>
    </w:p>
    <w:p>
      <w:pPr>
        <w:ind w:firstLine="602"/>
        <w:spacing w:after="50"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资格审查文件：</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《营业执照》副本</w:t>
      </w:r>
      <w:r>
        <w:rPr>
          <w:rFonts w:hint="eastAsia" w:ascii="宋体" w:hAnsi="宋体"/>
          <w:color w:val="000000" w:themeColor="text1"/>
          <w:sz w:val="24"/>
          <w:highlight w:val="none"/>
          <w14:textFill>
            <w14:solidFill>
              <w14:schemeClr w14:val="tx1"/>
            </w14:solidFill>
          </w14:textFill>
        </w:rPr>
        <w:t xml:space="preserve">扫描件；</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13投标人具有良好的商业信誉和健全的财务会计制度证明。包括但不限于最近一期经审计的财务报告，其他组织、自然人及成立未满一年的法人应提供银行出具的资信证明。</w:t>
      </w:r>
      <w:r/>
    </w:p>
    <w:p>
      <w:pPr>
        <w:ind w:firstLine="600"/>
        <w:spacing w:after="50" w:line="360" w:lineRule="auto"/>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15.14投标人具备履行合同所必需的设备和专业技术能力的证明材料</w:t>
      </w:r>
      <w:r>
        <w:rPr>
          <w:rFonts w:hint="eastAsia" w:ascii="宋体" w:hAnsi="宋体" w:cs="宋体"/>
          <w:color w:val="000000" w:themeColor="text1"/>
          <w:sz w:val="24"/>
          <w:highlight w:val="none"/>
          <w14:textFill>
            <w14:solidFill>
              <w14:schemeClr w14:val="tx1"/>
            </w14:solidFill>
          </w14:textFill>
        </w:rPr>
        <w:t xml:space="preserve">；</w:t>
      </w:r>
      <w:r/>
    </w:p>
    <w:p>
      <w:pPr>
        <w:ind w:firstLine="600"/>
        <w:spacing w:after="50"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15.15投标人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15.16投标人参加政府采购活动前3年内在经营活动中没有重大违法记录的书面声明函；</w:t>
      </w:r>
      <w:r/>
    </w:p>
    <w:p>
      <w:pPr>
        <w:ind w:firstLine="602"/>
        <w:spacing w:after="50"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符合性审查文件：</w:t>
      </w:r>
      <w:r/>
    </w:p>
    <w:p>
      <w:pPr>
        <w:ind w:firstLine="597"/>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17 投标函</w:t>
      </w:r>
      <w:r>
        <w:rPr>
          <w:rFonts w:ascii="宋体" w:hAnsi="宋体"/>
          <w:color w:val="000000" w:themeColor="text1"/>
          <w:sz w:val="24"/>
          <w:highlight w:val="none"/>
          <w14:textFill>
            <w14:solidFill>
              <w14:schemeClr w14:val="tx1"/>
            </w14:solidFill>
          </w14:textFill>
        </w:rPr>
        <w:t xml:space="preserve">（详见投标文件格式）</w:t>
      </w:r>
      <w:r>
        <w:rPr>
          <w:rFonts w:hint="eastAsia" w:ascii="宋体" w:hAnsi="宋体"/>
          <w:color w:val="000000" w:themeColor="text1"/>
          <w:sz w:val="24"/>
          <w:highlight w:val="none"/>
          <w14:textFill>
            <w14:solidFill>
              <w14:schemeClr w14:val="tx1"/>
            </w14:solidFill>
          </w14:textFill>
        </w:rPr>
        <w:t xml:space="preserve">；</w:t>
      </w:r>
      <w:r/>
    </w:p>
    <w:p>
      <w:pPr>
        <w:ind w:firstLine="597"/>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15.18 分项报价明细表</w:t>
      </w:r>
      <w:r>
        <w:rPr>
          <w:rFonts w:ascii="宋体" w:hAnsi="宋体"/>
          <w:color w:val="000000" w:themeColor="text1"/>
          <w:sz w:val="24"/>
          <w:highlight w:val="none"/>
          <w14:textFill>
            <w14:solidFill>
              <w14:schemeClr w14:val="tx1"/>
            </w14:solidFill>
          </w14:textFill>
        </w:rPr>
        <w:t xml:space="preserve">（详见投标文件格式）</w:t>
      </w:r>
      <w:r>
        <w:rPr>
          <w:rFonts w:hint="eastAsia" w:ascii="宋体" w:hAnsi="宋体"/>
          <w:color w:val="000000" w:themeColor="text1"/>
          <w:sz w:val="24"/>
          <w:highlight w:val="none"/>
          <w14:textFill>
            <w14:solidFill>
              <w14:schemeClr w14:val="tx1"/>
            </w14:solidFill>
          </w14:textFill>
        </w:rPr>
        <w:t xml:space="preserve">；</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15.19设备配置清单表（含投标货物品牌、规格、型号、数量、技术指标说明与描述、交货期限说明等）</w:t>
      </w:r>
      <w:r>
        <w:rPr>
          <w:rFonts w:ascii="宋体" w:hAnsi="宋体"/>
          <w:color w:val="000000" w:themeColor="text1"/>
          <w:sz w:val="24"/>
          <w:highlight w:val="none"/>
          <w14:textFill>
            <w14:solidFill>
              <w14:schemeClr w14:val="tx1"/>
            </w14:solidFill>
          </w14:textFill>
        </w:rPr>
        <w:t xml:space="preserve">（详见投标文件格式）</w:t>
      </w:r>
      <w:r>
        <w:rPr>
          <w:rFonts w:hint="eastAsia" w:ascii="宋体" w:hAnsi="宋体" w:cs="宋体"/>
          <w:color w:val="000000" w:themeColor="text1"/>
          <w:sz w:val="24"/>
          <w:highlight w:val="none"/>
          <w14:textFill>
            <w14:solidFill>
              <w14:schemeClr w14:val="tx1"/>
            </w14:solidFill>
          </w14:textFill>
        </w:rPr>
        <w:t xml:space="preserve">；</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15.20技术规格偏离表和商务条款偏离表（详见投标文件格式）；</w:t>
      </w:r>
      <w:r/>
    </w:p>
    <w:p>
      <w:pPr>
        <w:ind w:firstLine="600"/>
        <w:spacing w:after="5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15.21 </w:t>
      </w:r>
      <w:r>
        <w:rPr>
          <w:rFonts w:hint="eastAsia"/>
          <w:color w:val="000000" w:themeColor="text1"/>
          <w:sz w:val="24"/>
          <w:highlight w:val="none"/>
          <w14:textFill>
            <w14:solidFill>
              <w14:schemeClr w14:val="tx1"/>
            </w14:solidFill>
          </w14:textFill>
        </w:rPr>
        <w:t xml:space="preserve">投标单位对招标文件响应情况：由评标委员会自行查看，投标单位无需另行提供证明材料；</w:t>
      </w:r>
      <w:r/>
    </w:p>
    <w:p>
      <w:pPr>
        <w:ind w:firstLine="602"/>
        <w:spacing w:after="50"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综合评审文件（供应商根据评分标准制作）：</w:t>
      </w:r>
      <w:r/>
    </w:p>
    <w:p>
      <w:pPr>
        <w:ind w:firstLine="600"/>
        <w:spacing w:after="5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15.22招标文件评分标准中规定提交的其他相关材料；</w:t>
      </w:r>
      <w:r/>
    </w:p>
    <w:p>
      <w:pPr>
        <w:ind w:firstLine="72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价格折扣文件：</w:t>
      </w:r>
      <w:r/>
    </w:p>
    <w:p>
      <w:pPr>
        <w:ind w:firstLine="600"/>
        <w:spacing w:after="50"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15.23中小企业声明函（如为中小微）、残疾人福利性单位声明函（如为）、其他享受政府采购政策的证明材料；（部分格式详见投标文件格式）；</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注：投标人应完整提交投标文件，否则，投标文件将可能因资格性条件不符或符合性审查不符而判定为无效标。</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投标文件编制要求</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w:t>
      </w:r>
      <w:r>
        <w:rPr>
          <w:rFonts w:ascii="宋体" w:hAnsi="宋体"/>
          <w:color w:val="000000" w:themeColor="text1"/>
          <w:highlight w:val="none"/>
          <w14:textFill>
            <w14:solidFill>
              <w14:schemeClr w14:val="tx1"/>
            </w14:solidFill>
          </w14:textFill>
        </w:rPr>
        <w:t xml:space="preserve">.1</w:t>
      </w:r>
      <w:bookmarkStart w:id="6" w:name="_Hlk140247794"/>
      <w:r>
        <w:rPr>
          <w:rFonts w:hint="eastAsia" w:ascii="宋体" w:hAnsi="宋体"/>
          <w:color w:val="000000" w:themeColor="text1"/>
          <w:highlight w:val="none"/>
          <w14:textFill>
            <w14:solidFill>
              <w14:schemeClr w14:val="tx1"/>
            </w14:solidFill>
          </w14:textFill>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投标文件未按照招标文件要求加盖CA电子公章的，投标无效。</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bookmarkStart w:id="7" w:name="_Hlk158134955"/>
      <w:r>
        <w:rPr>
          <w:rFonts w:hint="eastAsia" w:ascii="宋体" w:hAnsi="宋体"/>
          <w:color w:val="000000" w:themeColor="text1"/>
          <w:highlight w:val="none"/>
          <w14:textFill>
            <w14:solidFill>
              <w14:schemeClr w14:val="tx1"/>
            </w14:solidFill>
          </w14:textFill>
        </w:rPr>
        <w:t xml:space="preserve">联合体投标：如招标（采购）公告中允许联合体投标，联合体投标的投标（响应）文件制作上传操作如下：</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第一步：在投标（响应）文件中上传联合体投标协议书。</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第二步；在投标（响应）文件中，由联合体中的牵头人制作投标（响应）文件。</w:t>
      </w:r>
      <w:bookmarkEnd w:id="7"/>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如投标（响应）文件制作机器码信息一致，视为不同投标供应商使用同一台电脑编制投标（响应）文件，投标（响应）无效。</w:t>
      </w:r>
      <w:bookmarkEnd w:id="6"/>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3《开标一览表》为在开标仪式上唱标的内容，要求按格式填写，统一规范，不得自行增减内容。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投标报价（编制）要求的说明</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17.1除非合同中另有规定，投标人对《开标一览表》中的全部货物和服务的报价应包括</w:t>
      </w:r>
      <w:r>
        <w:rPr>
          <w:rFonts w:ascii="宋体" w:hAnsi="宋体"/>
          <w:bCs/>
          <w:color w:val="000000" w:themeColor="text1"/>
          <w:sz w:val="24"/>
          <w:highlight w:val="none"/>
          <w14:textFill>
            <w14:solidFill>
              <w14:schemeClr w14:val="tx1"/>
            </w14:solidFill>
          </w14:textFill>
        </w:rPr>
        <w:t xml:space="preserve">完成该项工作所需</w:t>
      </w:r>
      <w:r>
        <w:rPr>
          <w:rFonts w:hint="eastAsia" w:ascii="宋体" w:hAnsi="宋体"/>
          <w:color w:val="000000" w:themeColor="text1"/>
          <w:sz w:val="24"/>
          <w:highlight w:val="none"/>
          <w14:textFill>
            <w14:solidFill>
              <w14:schemeClr w14:val="tx1"/>
            </w14:solidFill>
          </w14:textFill>
        </w:rPr>
        <w:t xml:space="preserve">全部货物和服务、</w:t>
      </w:r>
      <w:r>
        <w:rPr>
          <w:rFonts w:ascii="宋体" w:hAnsi="宋体"/>
          <w:color w:val="000000" w:themeColor="text1"/>
          <w:sz w:val="24"/>
          <w:highlight w:val="none"/>
          <w14:textFill>
            <w14:solidFill>
              <w14:schemeClr w14:val="tx1"/>
            </w14:solidFill>
          </w14:textFill>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投标人应按《分项报价明细表》</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pStyle w:val="834"/>
        <w:ind w:firstLine="505"/>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834"/>
        <w:ind w:firstLine="505"/>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w:t>
      </w:r>
      <w:r>
        <w:rPr>
          <w:rFonts w:ascii="宋体" w:hAnsi="宋体"/>
          <w:color w:val="000000" w:themeColor="text1"/>
          <w:highlight w:val="none"/>
          <w14:textFill>
            <w14:solidFill>
              <w14:schemeClr w14:val="tx1"/>
            </w14:solidFill>
          </w14:textFill>
        </w:rPr>
        <w:t xml:space="preserve">.4 </w:t>
      </w:r>
      <w:r>
        <w:rPr>
          <w:rFonts w:hint="eastAsia" w:ascii="宋体" w:hAnsi="宋体"/>
          <w:color w:val="000000" w:themeColor="text1"/>
          <w:highlight w:val="none"/>
          <w14:textFill>
            <w14:solidFill>
              <w14:schemeClr w14:val="tx1"/>
            </w14:solidFill>
          </w14:textFill>
        </w:rPr>
        <w:t xml:space="preserve">一项投标内容只允许一个报价，招标采购单位不接受任何有选择性的投标报价。</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w:t>
      </w:r>
      <w:r>
        <w:rPr>
          <w:rFonts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投标文件报价中的单价和总价全部采用人民币表示，除非合同的特殊条款另有规定。</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17.6</w:t>
      </w:r>
      <w:r>
        <w:rPr>
          <w:rFonts w:hint="eastAsia" w:ascii="宋体" w:hAnsi="宋体"/>
          <w:b/>
          <w:bCs/>
          <w:color w:val="000000" w:themeColor="text1"/>
          <w:highlight w:val="none"/>
          <w14:textFill>
            <w14:solidFill>
              <w14:schemeClr w14:val="tx1"/>
            </w14:solidFill>
          </w14:textFill>
        </w:rPr>
        <w:t xml:space="preserve">最低报价不能作为中标的保证</w:t>
      </w:r>
      <w:r>
        <w:rPr>
          <w:rFonts w:hint="eastAsia" w:ascii="宋体" w:hAnsi="宋体"/>
          <w:color w:val="000000" w:themeColor="text1"/>
          <w:highlight w:val="none"/>
          <w14:textFill>
            <w14:solidFill>
              <w14:schemeClr w14:val="tx1"/>
            </w14:solidFill>
          </w14:textFill>
        </w:rPr>
        <w:t xml:space="preserve">。</w:t>
      </w:r>
      <w:r/>
    </w:p>
    <w:p>
      <w:pPr>
        <w:numPr>
          <w:ilvl w:val="0"/>
          <w:numId w:val="1"/>
        </w:num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投标保证金</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本项目不提交，文件内关于投标保证金的相关规定均不适用。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19</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投标文件的有效期</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投标文件的递交</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0</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投标截止时间</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人通过“苏采云”系统不见面开标大厅在线参与开标活动。（具体操作详见《苏采云系统供应商操作手册》，网址链接https://czju.suzhou.gov.cn/zfcg/html/content/20231220161910031.shtml）投标人电子投标文件上传截止时间之前对投标文件进行加密并上传，否则视为放弃参加该采购项目。</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20.2招标采购单位推迟投标截止时间时，应以书面形式通知所有投标人。在这种情况下，招标采购单位和投标人的权利和义务将受到新的截止期的约束。</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20.3在投标截止时间以后提交的投标文件，招标采购单位拒绝接收。</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20.4在投标截止时间止招标采购单位收到的投标文件少于三份，招标采购单位有权宣布本次招标失败。</w:t>
      </w:r>
      <w:r/>
    </w:p>
    <w:p>
      <w:pPr>
        <w:ind w:firstLine="50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20.5电子投标文件必须在电子投标文件上传截止时间前完成投标文件上传。</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20.6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投标文件的修改和撤回</w:t>
      </w:r>
      <w:r/>
    </w:p>
    <w:p>
      <w:pPr>
        <w:ind w:firstLine="502"/>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投标</w:t>
      </w:r>
      <w:r>
        <w:rPr>
          <w:rFonts w:hint="eastAsia" w:ascii="宋体" w:hAnsi="宋体"/>
          <w:color w:val="000000" w:themeColor="text1"/>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在提交投标文件后可对其投标文件进行修改或撤</w:t>
      </w:r>
      <w:r>
        <w:rPr>
          <w:rFonts w:hint="eastAsia" w:ascii="宋体" w:hAnsi="宋体"/>
          <w:color w:val="000000" w:themeColor="text1"/>
          <w:sz w:val="24"/>
          <w:highlight w:val="none"/>
          <w14:textFill>
            <w14:solidFill>
              <w14:schemeClr w14:val="tx1"/>
            </w14:solidFill>
          </w14:textFill>
        </w:rPr>
        <w:t xml:space="preserve">回</w:t>
      </w:r>
      <w:r>
        <w:rPr>
          <w:rFonts w:ascii="宋体" w:hAnsi="宋体"/>
          <w:color w:val="000000" w:themeColor="text1"/>
          <w:sz w:val="24"/>
          <w:highlight w:val="none"/>
          <w14:textFill>
            <w14:solidFill>
              <w14:schemeClr w14:val="tx1"/>
            </w14:solidFill>
          </w14:textFill>
        </w:rPr>
        <w:t xml:space="preserve">，但须在投标截止时间之前。</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六、开标和评标</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21</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开标</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bookmarkStart w:id="8" w:name="_Hlk90652960"/>
      <w:r>
        <w:rPr>
          <w:rFonts w:hint="eastAsia" w:ascii="宋体" w:hAnsi="宋体"/>
          <w:color w:val="000000" w:themeColor="text1"/>
          <w:sz w:val="24"/>
          <w:highlight w:val="none"/>
          <w14:textFill>
            <w14:solidFill>
              <w14:schemeClr w14:val="tx1"/>
            </w14:solidFill>
          </w14:textFill>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8"/>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bookmarkStart w:id="9" w:name="_Hlk158135485"/>
      <w:r>
        <w:rPr>
          <w:rFonts w:hint="eastAsia" w:ascii="宋体" w:hAnsi="宋体"/>
          <w:color w:val="000000" w:themeColor="text1"/>
          <w:sz w:val="24"/>
          <w:highlight w:val="none"/>
          <w14:textFill>
            <w14:solidFill>
              <w14:schemeClr w14:val="tx1"/>
            </w14:solidFill>
          </w14:textFill>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9"/>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21.6投标人在</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苏采云</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系统规定的时间内未成功解密电子投标文件的，投标无效。</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21.9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center" w:pos="4479"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22.资格审查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22.1公开招标采购项目开标结束后，采购人应当依法对投标人的资格进行审查，未通过资格审查的视为无效投标。</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22.2.1查询时间：投标文件递交截止时间。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center" w:pos="4479"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23.评标工作的组织</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采购人或者采购代理机构负责组织评标工作，并履行下列职责：</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23.1核对评审专家身份和采购人代表授权函，对评审专家在政府采购活动中的职责履行情况予以记录，并及时将有关违法违规行为向财政部门报告；</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23.2宣布评标纪律；</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23.3公布投标人名单，告知评审专家应当回避的情形；</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23.4组织评标委员会推选评标组长，采购人代表不得担任组长；</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23.5在评标期间采取必要的通讯管理措施，保证评标活动不受外界干扰；</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23.6根据评标委员会的要求介绍政府采购相关政策法规、招标文件；</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23.9评审工作完成后，按照规定向评审专家支付劳务报酬和异地评审差旅费，不得向评审专家以外的其他人员支付评审劳务报酬；</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23.10处理与评标有关的其他事项。</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spacing w:line="360" w:lineRule="auto"/>
        <w:tabs>
          <w:tab w:val="center" w:pos="4479"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24</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评标委员会</w:t>
      </w:r>
      <w:r>
        <w:rPr>
          <w:rFonts w:ascii="宋体" w:hAnsi="宋体"/>
          <w:b/>
          <w:color w:val="000000" w:themeColor="text1"/>
          <w:sz w:val="24"/>
          <w:highlight w:val="none"/>
          <w14:textFill>
            <w14:solidFill>
              <w14:schemeClr w14:val="tx1"/>
            </w14:solidFill>
          </w14:textFill>
        </w:rPr>
        <w:tab/>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24.1评标委员会由招标采购单位依法组建，负责本项目的评标事务。</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24.2评标委员会独立履行下列职责：</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24.2.1审查、评价投标文件是否符合招标文件的商务、技术等实质性要求；</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24.2.2要求投标人对投标文件有关事项作出澄清或者说明；</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24.2.3对投标文件进行比较和评价；</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24.2.4确定中标候选人名单，以及根据采购人委托直接确定中标人；</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24.2.5向采购人、采购代理机构或者有关部门报告评标中发现的违法行为。</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24.3评标委员会成员应当履行下列义务：</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24.3.1遵纪守法，客观、公正、廉洁地履行职责；</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24.3.2按照招标文件规定的评标办法和评标标准进行评标，对评审意见承担个人责任；</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24.3.3对评标过程和结果，以及投标人的商业秘密保密；</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24.3.4参与评标报告的起草；</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24.3.5配合相关部门的投诉处理工作；</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24.3.6配合招标采购单位答复投标供应商提出的质疑。</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5</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评标内容的保密</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公开开标后，直到宣布授予中标供应商合同为止，凡属于审查、澄清、评价和比较投标的所有资料，有关授予合同的信息都不应向投标人或与评标无关的其他人泄露。</w:t>
      </w:r>
      <w:r/>
    </w:p>
    <w:p>
      <w:pPr>
        <w:pStyle w:val="834"/>
        <w:ind w:firstLine="505"/>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rPr>
          <w:rFonts w:ascii="宋体" w:hAnsi="宋体"/>
          <w:color w:val="000000" w:themeColor="text1"/>
          <w:highlight w:val="none"/>
          <w14:textFill>
            <w14:solidFill>
              <w14:schemeClr w14:val="tx1"/>
            </w14:solidFill>
          </w14:textFill>
        </w:rPr>
        <w:t xml:space="preserve">.2 </w:t>
      </w:r>
      <w:r>
        <w:rPr>
          <w:rFonts w:hint="eastAsia" w:ascii="宋体" w:hAnsi="宋体"/>
          <w:color w:val="000000" w:themeColor="text1"/>
          <w:highlight w:val="none"/>
          <w14:textFill>
            <w14:solidFill>
              <w14:schemeClr w14:val="tx1"/>
            </w14:solidFill>
          </w14:textFill>
        </w:rPr>
        <w:t xml:space="preserve">在投标文件的审查、澄清、评价和比较以及授予合同的过程中，投标人对招标采购单位和评标委员会成员施加影响的任何行为，都将取消其投标资格。</w:t>
      </w:r>
      <w:r/>
    </w:p>
    <w:p>
      <w:pPr>
        <w:pStyle w:val="834"/>
        <w:ind w:firstLine="505"/>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在评标期间，招标采购单位将通过指定联络人与投标人进行联系。</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26.对投标文件初审</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26.1评标委员会依据招标文件的规定对投标文件进行符合性审查。存在以下情形，符合性审查不合格：</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1）投标文件存在</w:t>
      </w:r>
      <w:r>
        <w:rPr>
          <w:rFonts w:ascii="宋体" w:hAnsi="宋体"/>
          <w:color w:val="000000" w:themeColor="text1"/>
          <w:highlight w:val="none"/>
          <w14:textFill>
            <w14:solidFill>
              <w14:schemeClr w14:val="tx1"/>
            </w14:solidFill>
          </w14:textFill>
        </w:rPr>
        <w:t xml:space="preserve">招标文件</w:t>
      </w:r>
      <w:r>
        <w:rPr>
          <w:rFonts w:hint="eastAsia" w:ascii="宋体" w:hAnsi="宋体"/>
          <w:color w:val="000000" w:themeColor="text1"/>
          <w:highlight w:val="none"/>
          <w14:textFill>
            <w14:solidFill>
              <w14:schemeClr w14:val="tx1"/>
            </w14:solidFill>
          </w14:textFill>
        </w:rPr>
        <w:t xml:space="preserve">投标人须知第29款“无效投标”规定情形的；</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投标文件载明的有效期短于招标文件规定</w:t>
      </w:r>
      <w:r>
        <w:rPr>
          <w:rFonts w:hint="eastAsia" w:ascii="宋体" w:hAnsi="宋体"/>
          <w:color w:val="000000" w:themeColor="text1"/>
          <w:highlight w:val="none"/>
          <w14:textFill>
            <w14:solidFill>
              <w14:schemeClr w14:val="tx1"/>
            </w14:solidFill>
          </w14:textFill>
        </w:rPr>
        <w:t xml:space="preserve">；</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ascii="宋体" w:hAnsi="宋体"/>
          <w:color w:val="000000" w:themeColor="text1"/>
          <w:highlight w:val="none"/>
          <w14:textFill>
            <w14:solidFill>
              <w14:schemeClr w14:val="tx1"/>
            </w14:solidFill>
          </w14:textFill>
        </w:rPr>
        <w:t xml:space="preserve">投标文件载明的招标项目</w:t>
      </w:r>
      <w:r>
        <w:rPr>
          <w:rFonts w:hint="eastAsia" w:ascii="宋体" w:hAnsi="宋体"/>
          <w:color w:val="000000" w:themeColor="text1"/>
          <w:highlight w:val="none"/>
          <w14:textFill>
            <w14:solidFill>
              <w14:schemeClr w14:val="tx1"/>
            </w14:solidFill>
          </w14:textFill>
        </w:rPr>
        <w:t xml:space="preserve">交货</w:t>
      </w:r>
      <w:r>
        <w:rPr>
          <w:rFonts w:ascii="宋体" w:hAnsi="宋体"/>
          <w:color w:val="000000" w:themeColor="text1"/>
          <w:highlight w:val="none"/>
          <w14:textFill>
            <w14:solidFill>
              <w14:schemeClr w14:val="tx1"/>
            </w14:solidFill>
          </w14:textFill>
        </w:rPr>
        <w:t xml:space="preserve">期限</w:t>
      </w:r>
      <w:r>
        <w:rPr>
          <w:rFonts w:hint="eastAsia" w:ascii="宋体" w:hAnsi="宋体"/>
          <w:color w:val="000000" w:themeColor="text1"/>
          <w:highlight w:val="none"/>
          <w14:textFill>
            <w14:solidFill>
              <w14:schemeClr w14:val="tx1"/>
            </w14:solidFill>
          </w14:textFill>
        </w:rPr>
        <w:t xml:space="preserve">不满足招标文件规定；</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4）投标</w:t>
      </w:r>
      <w:r>
        <w:rPr>
          <w:rFonts w:ascii="宋体" w:hAnsi="宋体"/>
          <w:color w:val="000000" w:themeColor="text1"/>
          <w:highlight w:val="none"/>
          <w14:textFill>
            <w14:solidFill>
              <w14:schemeClr w14:val="tx1"/>
            </w14:solidFill>
          </w14:textFill>
        </w:rPr>
        <w:t xml:space="preserve">文件载明的</w:t>
      </w:r>
      <w:r>
        <w:rPr>
          <w:rFonts w:hint="eastAsia" w:ascii="宋体" w:hAnsi="宋体"/>
          <w:color w:val="000000" w:themeColor="text1"/>
          <w:highlight w:val="none"/>
          <w14:textFill>
            <w14:solidFill>
              <w14:schemeClr w14:val="tx1"/>
            </w14:solidFill>
          </w14:textFill>
        </w:rPr>
        <w:t xml:space="preserve">免费质保</w:t>
      </w:r>
      <w:r>
        <w:rPr>
          <w:rFonts w:ascii="宋体" w:hAnsi="宋体"/>
          <w:color w:val="000000" w:themeColor="text1"/>
          <w:highlight w:val="none"/>
          <w14:textFill>
            <w14:solidFill>
              <w14:schemeClr w14:val="tx1"/>
            </w14:solidFill>
          </w14:textFill>
        </w:rPr>
        <w:t xml:space="preserve">期限</w:t>
      </w:r>
      <w:r>
        <w:rPr>
          <w:rFonts w:hint="eastAsia" w:ascii="宋体" w:hAnsi="宋体"/>
          <w:color w:val="000000" w:themeColor="text1"/>
          <w:highlight w:val="none"/>
          <w14:textFill>
            <w14:solidFill>
              <w14:schemeClr w14:val="tx1"/>
            </w14:solidFill>
          </w14:textFill>
        </w:rPr>
        <w:t xml:space="preserve">不满足招标文件规定；</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5）投标文件载明的履约保证、付款方式不满足招标文件规定；</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6）投标文件未</w:t>
      </w:r>
      <w:r>
        <w:rPr>
          <w:rFonts w:ascii="宋体" w:hAnsi="宋体"/>
          <w:color w:val="000000" w:themeColor="text1"/>
          <w:highlight w:val="none"/>
          <w14:textFill>
            <w14:solidFill>
              <w14:schemeClr w14:val="tx1"/>
            </w14:solidFill>
          </w14:textFill>
        </w:rPr>
        <w:t xml:space="preserve">按招标文件规定的格式填写或递交，内容不全或关键字迹模糊、无法辨认的</w:t>
      </w:r>
      <w:r>
        <w:rPr>
          <w:rFonts w:hint="eastAsia" w:ascii="宋体" w:hAnsi="宋体"/>
          <w:color w:val="000000" w:themeColor="text1"/>
          <w:highlight w:val="none"/>
          <w14:textFill>
            <w14:solidFill>
              <w14:schemeClr w14:val="tx1"/>
            </w14:solidFill>
          </w14:textFill>
        </w:rPr>
        <w:t xml:space="preserve">，从而影响投标文件有效性；</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rPr>
          <w:rFonts w:ascii="宋体" w:hAnsi="宋体"/>
          <w:color w:val="000000" w:themeColor="text1"/>
          <w:highlight w:val="none"/>
          <w14:textFill>
            <w14:solidFill>
              <w14:schemeClr w14:val="tx1"/>
            </w14:solidFill>
          </w14:textFill>
        </w:rPr>
        <w:t xml:space="preserve">不同投标人的投标文件以及投标文件制作过程出现了评标委员会认为不应当雷同的情况的</w:t>
      </w:r>
      <w:r>
        <w:rPr>
          <w:rFonts w:hint="eastAsia" w:ascii="宋体" w:hAnsi="宋体"/>
          <w:color w:val="000000" w:themeColor="text1"/>
          <w:highlight w:val="none"/>
          <w14:textFill>
            <w14:solidFill>
              <w14:schemeClr w14:val="tx1"/>
            </w14:solidFill>
          </w14:textFill>
        </w:rPr>
        <w:t xml:space="preserve">；</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rPr>
          <w:rFonts w:ascii="宋体" w:hAnsi="宋体"/>
          <w:color w:val="000000" w:themeColor="text1"/>
          <w:highlight w:val="none"/>
          <w14:textFill>
            <w14:solidFill>
              <w14:schemeClr w14:val="tx1"/>
            </w14:solidFill>
          </w14:textFill>
        </w:rPr>
        <w:t xml:space="preserve">不同投标人的投标文件</w:t>
      </w:r>
      <w:r>
        <w:rPr>
          <w:rFonts w:hint="eastAsia" w:ascii="宋体" w:hAnsi="宋体"/>
          <w:color w:val="000000" w:themeColor="text1"/>
          <w:highlight w:val="none"/>
          <w14:textFill>
            <w14:solidFill>
              <w14:schemeClr w14:val="tx1"/>
            </w14:solidFill>
          </w14:textFill>
        </w:rPr>
        <w:t xml:space="preserve">存在“视为串通投标”的情形；</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9）投标人的报价存在选择性的；</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10）投标人的报价或响应只响应了项目</w:t>
      </w:r>
      <w:r>
        <w:rPr>
          <w:rFonts w:ascii="宋体" w:hAnsi="宋体"/>
          <w:color w:val="000000" w:themeColor="text1"/>
          <w:highlight w:val="none"/>
          <w14:textFill>
            <w14:solidFill>
              <w14:schemeClr w14:val="tx1"/>
            </w14:solidFill>
          </w14:textFill>
        </w:rPr>
        <w:t xml:space="preserve">中</w:t>
      </w:r>
      <w:r>
        <w:rPr>
          <w:rFonts w:hint="eastAsia" w:ascii="宋体" w:hAnsi="宋体"/>
          <w:color w:val="000000" w:themeColor="text1"/>
          <w:highlight w:val="none"/>
          <w14:textFill>
            <w14:solidFill>
              <w14:schemeClr w14:val="tx1"/>
            </w14:solidFill>
          </w14:textFill>
        </w:rPr>
        <w:t xml:space="preserve">部分招标内容；</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11）投标人拒绝修正错误影响评标的；</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12）投标文件不</w:t>
      </w:r>
      <w:r>
        <w:rPr>
          <w:rFonts w:ascii="宋体" w:hAnsi="宋体"/>
          <w:color w:val="000000" w:themeColor="text1"/>
          <w:highlight w:val="none"/>
          <w14:textFill>
            <w14:solidFill>
              <w14:schemeClr w14:val="tx1"/>
            </w14:solidFill>
          </w14:textFill>
        </w:rPr>
        <w:t xml:space="preserve">符合</w:t>
      </w:r>
      <w:r>
        <w:rPr>
          <w:rFonts w:hint="eastAsia" w:ascii="宋体" w:hAnsi="宋体"/>
          <w:color w:val="000000" w:themeColor="text1"/>
          <w:highlight w:val="none"/>
          <w14:textFill>
            <w14:solidFill>
              <w14:schemeClr w14:val="tx1"/>
            </w14:solidFill>
          </w14:textFill>
        </w:rPr>
        <w:t xml:space="preserve">招标文件</w:t>
      </w:r>
      <w:r>
        <w:rPr>
          <w:rFonts w:ascii="宋体" w:hAnsi="宋体"/>
          <w:color w:val="000000" w:themeColor="text1"/>
          <w:highlight w:val="none"/>
          <w14:textFill>
            <w14:solidFill>
              <w14:schemeClr w14:val="tx1"/>
            </w14:solidFill>
          </w14:textFill>
        </w:rPr>
        <w:t xml:space="preserve">规定的其他实质性条款</w:t>
      </w:r>
      <w:r>
        <w:rPr>
          <w:rFonts w:hint="eastAsia" w:ascii="宋体" w:hAnsi="宋体"/>
          <w:color w:val="000000" w:themeColor="text1"/>
          <w:highlight w:val="none"/>
          <w14:textFill>
            <w14:solidFill>
              <w14:schemeClr w14:val="tx1"/>
            </w14:solidFill>
          </w14:textFill>
        </w:rPr>
        <w:t xml:space="preserve">；</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13）不同投标文件存在“机器码”一致情形；</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14）投标文件存在招标文件规定的其他无效投标情形的。</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26.2对于不允许偏离的实质性要求和条件，采购人或者采购代理机构应当在招标文件中规定，并以醒目的方式标明。</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26.3</w:t>
      </w:r>
      <w:r>
        <w:rPr>
          <w:rFonts w:ascii="宋体" w:hAnsi="宋体"/>
          <w:color w:val="000000" w:themeColor="text1"/>
          <w:highlight w:val="none"/>
          <w14:textFill>
            <w14:solidFill>
              <w14:schemeClr w14:val="tx1"/>
            </w14:solidFill>
          </w14:textFill>
        </w:rPr>
        <w:t xml:space="preserve">投标</w:t>
      </w:r>
      <w:r>
        <w:rPr>
          <w:rFonts w:hint="eastAsia" w:ascii="宋体" w:hAnsi="宋体"/>
          <w:color w:val="000000" w:themeColor="text1"/>
          <w:highlight w:val="none"/>
          <w14:textFill>
            <w14:solidFill>
              <w14:schemeClr w14:val="tx1"/>
            </w14:solidFill>
          </w14:textFill>
        </w:rPr>
        <w:t xml:space="preserve">人</w:t>
      </w:r>
      <w:r>
        <w:rPr>
          <w:rFonts w:ascii="宋体" w:hAnsi="宋体"/>
          <w:color w:val="000000" w:themeColor="text1"/>
          <w:highlight w:val="none"/>
          <w14:textFill>
            <w14:solidFill>
              <w14:schemeClr w14:val="tx1"/>
            </w14:solidFill>
          </w14:textFill>
        </w:rPr>
        <w:t xml:space="preserve">不能通过修正或撤销不符之处而使其投标成为实质性响应的投标</w:t>
      </w:r>
      <w:r>
        <w:rPr>
          <w:rFonts w:hint="eastAsia" w:ascii="宋体" w:hAnsi="宋体"/>
          <w:color w:val="000000" w:themeColor="text1"/>
          <w:highlight w:val="none"/>
          <w14:textFill>
            <w14:solidFill>
              <w14:schemeClr w14:val="tx1"/>
            </w14:solidFill>
          </w14:textFill>
        </w:rPr>
        <w:t xml:space="preserve">。</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27.投标澄清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w:t>
      </w:r>
      <w:bookmarkStart w:id="10" w:name="_Hlk158140503"/>
      <w:r/>
      <w:bookmarkStart w:id="11" w:name="_Hlk158140452"/>
      <w:r/>
      <w:bookmarkStart w:id="12" w:name="_Hlk90656398"/>
      <w:r>
        <w:rPr>
          <w:rFonts w:hint="eastAsia" w:ascii="宋体" w:hAnsi="宋体"/>
          <w:color w:val="000000" w:themeColor="text1"/>
          <w:sz w:val="24"/>
          <w:highlight w:val="none"/>
          <w14:textFill>
            <w14:solidFill>
              <w14:schemeClr w14:val="tx1"/>
            </w14:solidFill>
          </w14:textFill>
        </w:rPr>
        <w:t xml:space="preserve">本项目采用线上澄清</w:t>
      </w:r>
      <w:bookmarkEnd w:id="10"/>
      <w:r>
        <w:rPr>
          <w:rFonts w:hint="eastAsia" w:ascii="宋体" w:hAnsi="宋体"/>
          <w:color w:val="000000" w:themeColor="text1"/>
          <w:sz w:val="24"/>
          <w:highlight w:val="none"/>
          <w14:textFill>
            <w14:solidFill>
              <w14:schemeClr w14:val="tx1"/>
            </w14:solidFill>
          </w14:textFill>
        </w:rPr>
        <w:t xml:space="preserve">。</w:t>
      </w:r>
      <w:bookmarkEnd w:id="1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澄清答复的方式：需要供应商进行澄清、说明和更正的，评标委员会将通过“苏采云”系统向供应商发布“澄清要求函”，接到“澄清要求函”的供应商应当按照要求在“苏采云”系统中提交“澄清响应函”并加盖</w:t>
      </w:r>
      <w:r>
        <w:rPr>
          <w:rFonts w:ascii="宋体" w:hAnsi="宋体"/>
          <w:color w:val="000000" w:themeColor="text1"/>
          <w:sz w:val="24"/>
          <w:highlight w:val="none"/>
          <w14:textFill>
            <w14:solidFill>
              <w14:schemeClr w14:val="tx1"/>
            </w14:solidFill>
          </w14:textFill>
        </w:rPr>
        <w:t xml:space="preserve">CA</w:t>
      </w:r>
      <w:r>
        <w:rPr>
          <w:rFonts w:hint="eastAsia" w:ascii="宋体" w:hAnsi="宋体"/>
          <w:color w:val="000000" w:themeColor="text1"/>
          <w:sz w:val="24"/>
          <w:highlight w:val="none"/>
          <w14:textFill>
            <w14:solidFill>
              <w14:schemeClr w14:val="tx1"/>
            </w14:solidFill>
          </w14:textFill>
        </w:rPr>
        <w:t xml:space="preserve">电子公章。澄清、说明和更正的内容作为响应文件的补充部分，具体操作方式见《操作手册》。未加盖</w:t>
      </w:r>
      <w:r>
        <w:rPr>
          <w:rFonts w:ascii="宋体" w:hAnsi="宋体"/>
          <w:color w:val="000000" w:themeColor="text1"/>
          <w:sz w:val="24"/>
          <w:highlight w:val="none"/>
          <w14:textFill>
            <w14:solidFill>
              <w14:schemeClr w14:val="tx1"/>
            </w14:solidFill>
          </w14:textFill>
        </w:rPr>
        <w:t xml:space="preserve">CA</w:t>
      </w:r>
      <w:r>
        <w:rPr>
          <w:rFonts w:hint="eastAsia" w:ascii="宋体" w:hAnsi="宋体"/>
          <w:color w:val="000000" w:themeColor="text1"/>
          <w:sz w:val="24"/>
          <w:highlight w:val="none"/>
          <w14:textFill>
            <w14:solidFill>
              <w14:schemeClr w14:val="tx1"/>
            </w14:solidFill>
          </w14:textFill>
        </w:rPr>
        <w:t xml:space="preserve">电子公章的澄清无效。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接到评标委员会澄清、说明和更正要求的投标人如未按规定做出澄清、说明和更正，其风险由投标人自行承担。</w:t>
      </w:r>
      <w:bookmarkEnd w:id="12"/>
      <w:r/>
      <w:r/>
    </w:p>
    <w:p>
      <w:pPr>
        <w:pStyle w:val="834"/>
        <w:ind w:firstLine="0"/>
        <w:jc w:val="both"/>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28.投标报价评审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28.1投标文件报价出现前后不一致的，除招标文件另有规定外，按照下列规定修正：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28.1.1投标文件中开标一览表（报价表）内容与投标文件中相应内容不一致的，以开标一览表（报价表）为准；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28.1.2大写金额和小写金额不一致的，以大写金额为准；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28.1.3单价金额小数点或者百分比有明显错位的，以开标一览表的单价为准，并修改单价；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28.1.4总价金额与按单价汇总金额不一致的，以单价金额计算结果为准。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28.4评标过程中，不得去掉报价中的最高报价和最低报价。因落实政府采购政策进行价格调整的，以调整后的价格计算评标基准价和投标报价。</w:t>
      </w:r>
      <w:r/>
    </w:p>
    <w:p>
      <w:pPr>
        <w:ind w:firstLine="480"/>
        <w:spacing w:line="360" w:lineRule="auto"/>
        <w:rPr>
          <w:rFonts w:ascii="宋体" w:hAnsi="宋体"/>
          <w:b/>
          <w:bCs/>
          <w:color w:val="000000" w:themeColor="text1"/>
          <w:sz w:val="24"/>
          <w:highlight w:val="none"/>
          <w14:textFill>
            <w14:solidFill>
              <w14:schemeClr w14:val="tx1"/>
            </w14:solidFill>
          </w14:textFill>
        </w:rPr>
      </w:pPr>
      <w:r/>
      <w:bookmarkStart w:id="13" w:name="OLE_LINK20"/>
      <w:r/>
      <w:bookmarkStart w:id="14" w:name="OLE_LINK11"/>
      <w:r>
        <w:rPr>
          <w:rFonts w:hint="eastAsia" w:ascii="宋体" w:hAnsi="宋体"/>
          <w:b/>
          <w:bCs/>
          <w:color w:val="000000" w:themeColor="text1"/>
          <w:sz w:val="24"/>
          <w:highlight w:val="none"/>
          <w14:textFill>
            <w14:solidFill>
              <w14:schemeClr w14:val="tx1"/>
            </w14:solidFill>
          </w14:textFill>
        </w:rPr>
        <w:t xml:space="preserve">28.5异常低价投标审查</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28.5.1评标过程中出现下列情形之一的，</w:t>
      </w:r>
      <w:bookmarkStart w:id="15" w:name="OLE_LINK5"/>
      <w:r/>
      <w:bookmarkStart w:id="16" w:name="OLE_LINK6"/>
      <w:r>
        <w:rPr>
          <w:rFonts w:hint="eastAsia" w:ascii="宋体" w:hAnsi="宋体"/>
          <w:b/>
          <w:bCs/>
          <w:color w:val="000000" w:themeColor="text1"/>
          <w:sz w:val="24"/>
          <w:highlight w:val="none"/>
          <w14:textFill>
            <w14:solidFill>
              <w14:schemeClr w14:val="tx1"/>
            </w14:solidFill>
          </w14:textFill>
        </w:rPr>
        <w:t xml:space="preserve">评标</w:t>
      </w:r>
      <w:bookmarkEnd w:id="15"/>
      <w:r/>
      <w:bookmarkEnd w:id="16"/>
      <w:r>
        <w:rPr>
          <w:rFonts w:hint="eastAsia" w:ascii="宋体" w:hAnsi="宋体"/>
          <w:b/>
          <w:bCs/>
          <w:color w:val="000000" w:themeColor="text1"/>
          <w:sz w:val="24"/>
          <w:highlight w:val="none"/>
          <w14:textFill>
            <w14:solidFill>
              <w14:schemeClr w14:val="tx1"/>
            </w14:solidFill>
          </w14:textFill>
        </w:rPr>
        <w:t xml:space="preserve">委员会应当启动异常低价投标审查程序：</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（一）投标报价低于采购项目预算50%的，即投标报价&lt;采购项目预算×50%；</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（二）投标报价低于采购项目最高限价45%的，即投标报价&lt;采购项目最高限价×45%；</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（三）评标委员会认定的供应商报价过低、有可能影响产品质量或者不能诚信履约的其他情形。</w:t>
      </w:r>
      <w:r/>
    </w:p>
    <w:p>
      <w:pPr>
        <w:ind w:firstLine="480"/>
        <w:spacing w:line="360" w:lineRule="auto"/>
        <w:rPr>
          <w:rFonts w:ascii="宋体" w:hAnsi="宋体"/>
          <w:b/>
          <w:bCs/>
          <w:color w:val="000000" w:themeColor="text1"/>
          <w:sz w:val="24"/>
          <w:highlight w:val="none"/>
          <w14:textFill>
            <w14:solidFill>
              <w14:schemeClr w14:val="tx1"/>
            </w14:solidFill>
          </w14:textFill>
        </w:rPr>
      </w:pPr>
      <w:r/>
      <w:bookmarkStart w:id="17" w:name="OLE_LINK3"/>
      <w:r/>
      <w:bookmarkStart w:id="18" w:name="OLE_LINK4"/>
      <w:r>
        <w:rPr>
          <w:rFonts w:hint="eastAsia" w:ascii="宋体" w:hAnsi="宋体"/>
          <w:b/>
          <w:bCs/>
          <w:color w:val="000000" w:themeColor="text1"/>
          <w:sz w:val="24"/>
          <w:highlight w:val="none"/>
          <w14:textFill>
            <w14:solidFill>
              <w14:schemeClr w14:val="tx1"/>
            </w14:solidFill>
          </w14:textFill>
        </w:rPr>
        <w:t xml:space="preserve">28.5.2启动异常低价投标审查后，</w:t>
      </w:r>
      <w:bookmarkStart w:id="19" w:name="OLE_LINK2"/>
      <w:r>
        <w:rPr>
          <w:rFonts w:hint="eastAsia" w:ascii="宋体" w:hAnsi="宋体"/>
          <w:b/>
          <w:bCs/>
          <w:color w:val="000000" w:themeColor="text1"/>
          <w:sz w:val="24"/>
          <w:highlight w:val="none"/>
          <w14:textFill>
            <w14:solidFill>
              <w14:schemeClr w14:val="tx1"/>
            </w14:solidFill>
          </w14:textFill>
        </w:rPr>
        <w:t xml:space="preserve">评标委员会</w:t>
      </w:r>
      <w:bookmarkEnd w:id="19"/>
      <w:r>
        <w:rPr>
          <w:rFonts w:hint="eastAsia" w:ascii="宋体" w:hAnsi="宋体"/>
          <w:b/>
          <w:bCs/>
          <w:color w:val="000000" w:themeColor="text1"/>
          <w:sz w:val="24"/>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20" w:name="OLE_LINK9"/>
      <w:r/>
      <w:bookmarkStart w:id="21" w:name="OLE_LINK10"/>
      <w:r>
        <w:rPr>
          <w:rFonts w:hint="eastAsia" w:ascii="宋体" w:hAnsi="宋体"/>
          <w:b/>
          <w:bCs/>
          <w:color w:val="000000" w:themeColor="text1"/>
          <w:sz w:val="24"/>
          <w:highlight w:val="none"/>
          <w14:textFill>
            <w14:solidFill>
              <w14:schemeClr w14:val="tx1"/>
            </w14:solidFill>
          </w14:textFill>
        </w:rPr>
        <w:t xml:space="preserve">，</w:t>
      </w:r>
      <w:bookmarkEnd w:id="20"/>
      <w:r/>
      <w:bookmarkEnd w:id="21"/>
      <w:r>
        <w:rPr>
          <w:rFonts w:hint="eastAsia" w:ascii="宋体" w:hAnsi="宋体"/>
          <w:b/>
          <w:bCs/>
          <w:color w:val="000000" w:themeColor="text1"/>
          <w:sz w:val="24"/>
          <w:highlight w:val="none"/>
          <w14:textFill>
            <w14:solidFill>
              <w14:schemeClr w14:val="tx1"/>
            </w14:solidFill>
          </w14:textFill>
        </w:rPr>
        <w:t xml:space="preserve">对投标价格作出解释，由评标委员会结合同类产品在主要电商平台的价格、该行业当地</w:t>
      </w:r>
      <w:bookmarkStart w:id="22" w:name="OLE_LINK7"/>
      <w:r/>
      <w:bookmarkStart w:id="23" w:name="OLE_LINK8"/>
      <w:r>
        <w:rPr>
          <w:rFonts w:hint="eastAsia" w:ascii="宋体" w:hAnsi="宋体"/>
          <w:b/>
          <w:bCs/>
          <w:color w:val="000000" w:themeColor="text1"/>
          <w:sz w:val="24"/>
          <w:highlight w:val="none"/>
          <w14:textFill>
            <w14:solidFill>
              <w14:schemeClr w14:val="tx1"/>
            </w14:solidFill>
          </w14:textFill>
        </w:rPr>
        <w:t xml:space="preserve">薪资</w:t>
      </w:r>
      <w:bookmarkEnd w:id="22"/>
      <w:r/>
      <w:bookmarkEnd w:id="23"/>
      <w:r>
        <w:rPr>
          <w:rFonts w:hint="eastAsia" w:ascii="宋体" w:hAnsi="宋体"/>
          <w:b/>
          <w:bCs/>
          <w:color w:val="000000" w:themeColor="text1"/>
          <w:sz w:val="24"/>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13"/>
      <w:r/>
      <w:bookmarkEnd w:id="17"/>
      <w:r/>
      <w:bookmarkEnd w:id="18"/>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28.5.3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1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28.6评标委员会成员对需要共同认定的事项存在争议的，应当按照少数服从多数的原则作出结论。持不同意见的评标委员会成员应当在评标报告上签署不同意见及理由，否则视为同意评标报告。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29.无效投标</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投标人存在下列情况之一的，投标无效:</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29.1投标文件未按招标文件要求签署、签章的；</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29.2不具备招标文件中规定的资格要求的；</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29.3报价超过招标文件中规定的预算金额或者最高限价的；</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29.4投标文件含有采购人不能接受的附加条件的；</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29.5法律、法规和招标文件规定的其他无效情形。</w:t>
      </w:r>
      <w:r/>
    </w:p>
    <w:p>
      <w:pPr>
        <w:ind w:firstLine="48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29.6</w:t>
      </w:r>
      <w:r>
        <w:rPr>
          <w:rFonts w:hint="eastAsia" w:ascii="宋体" w:hAnsi="宋体"/>
          <w:color w:val="000000" w:themeColor="text1"/>
          <w:szCs w:val="21"/>
          <w:highlight w:val="none"/>
          <w:lang w:val="zh-CN"/>
          <w14:textFill>
            <w14:solidFill>
              <w14:schemeClr w14:val="tx1"/>
            </w14:solidFill>
          </w14:textFill>
        </w:rPr>
        <w:t xml:space="preserve">投标人未</w:t>
      </w:r>
      <w:r>
        <w:rPr>
          <w:rFonts w:hint="eastAsia" w:ascii="宋体" w:hAnsi="宋体"/>
          <w:color w:val="000000" w:themeColor="text1"/>
          <w:szCs w:val="21"/>
          <w:highlight w:val="none"/>
          <w14:textFill>
            <w14:solidFill>
              <w14:schemeClr w14:val="tx1"/>
            </w14:solidFill>
          </w14:textFill>
        </w:rPr>
        <w:t xml:space="preserve">在规定时间内</w:t>
      </w:r>
      <w:r>
        <w:rPr>
          <w:rFonts w:hint="eastAsia" w:ascii="宋体" w:hAnsi="宋体"/>
          <w:color w:val="000000" w:themeColor="text1"/>
          <w:szCs w:val="21"/>
          <w:highlight w:val="none"/>
          <w:lang w:val="zh-CN"/>
          <w14:textFill>
            <w14:solidFill>
              <w14:schemeClr w14:val="tx1"/>
            </w14:solidFill>
          </w14:textFill>
        </w:rPr>
        <w:t xml:space="preserve">对电子投标文件进行解密或解密失败的。</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29.7机器码检查中，出现不同投标人投标文件机器码一致情形的。</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30.废标</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 在招标采购中，出现下列情形之一的，应予废标：</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30.1.1符合专业条件的供应商或者对招标文件作实质响应的供应商不足三家的；</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30.1.2出现影响采购公正的违法、违规行为的；</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30.1.3投标人的报价均超过了预算金额，采购人不能支付的；</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30.1.4因重大变故，采购任务取消的。</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30.2 废标后，采购人应当将废标理由通知所有投标人。</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31</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投标文件的评价和比较</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31.2</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最低的投标报价或最高的折扣比例是中标的重要条件，但不是唯一条件。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七、授予合同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32</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中标供应商的确认</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32.1评标委员会按招标文件规定的评标方法和标准进行详细评审后，按招标采购单位的委托向招标采购单位推荐中标候选单位。</w:t>
      </w:r>
      <w:r/>
    </w:p>
    <w:p>
      <w:pPr>
        <w:ind w:firstLine="64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33</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合同授予标准</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33.1招标采购单位将把合同授予其投标文件在实质上响应招标文件要求和按本须知规定评选出的投标人。确定为中标的投标人必须具有实施本合同的能力和资源。</w:t>
      </w:r>
      <w:r/>
    </w:p>
    <w:p>
      <w:pPr>
        <w:ind w:firstLine="502"/>
        <w:spacing w:line="348"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34</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中标通知书</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34.1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34.2中标通知书将成为合同的组成部分。</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34.3中标通知书发出后，采购人不得违法改变中标结果，中标人无正当理由不得放弃中标。</w:t>
      </w:r>
      <w:r/>
    </w:p>
    <w:p>
      <w:pPr>
        <w:spacing w:line="360" w:lineRule="auto"/>
        <w:rPr>
          <w:rFonts w:ascii="宋体" w:hAnsi="宋体"/>
          <w:b/>
          <w:color w:val="000000" w:themeColor="text1"/>
          <w:sz w:val="24"/>
          <w:highlight w:val="none"/>
          <w14:textFill>
            <w14:solidFill>
              <w14:schemeClr w14:val="tx1"/>
            </w14:solidFill>
          </w14:textFill>
        </w:rPr>
        <w:outlineLvl w:val="0"/>
      </w:pPr>
      <w:r>
        <w:rPr>
          <w:rFonts w:hint="eastAsia" w:ascii="宋体" w:hAnsi="宋体"/>
          <w:b/>
          <w:color w:val="000000" w:themeColor="text1"/>
          <w:sz w:val="24"/>
          <w:highlight w:val="none"/>
          <w14:textFill>
            <w14:solidFill>
              <w14:schemeClr w14:val="tx1"/>
            </w14:solidFill>
          </w14:textFill>
        </w:rPr>
        <w:t xml:space="preserve">35.履约保证金（本项目不提交履约保证金）</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36</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合同的签订</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37.1按照《关于印发&lt;苏州市政府采购促进中小企业发展实施意见&gt;的通知》（苏财购〔2022〕16号）文件精神，采购人与中标人原则上应当在中标通知书发出之日起十五日内，按照招标文件及投标文件确定的事项签订政府采购合同。  </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37.2签订合同及合同条款应以招标文件和中标供应商的投标文件及其澄清文件为依据。</w:t>
      </w:r>
      <w:r/>
    </w:p>
    <w:p>
      <w:pPr>
        <w:pStyle w:val="834"/>
        <w:ind w:firstLine="48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37.3招标文件、中标人的投标文件及招标过程中有关澄清、承诺文件均应作为合同附件。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八、其他事项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37</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招标代理服务费</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37.1中标供应商须按前附表的规定，按其预算总金额计算并支付招标代理服务费，该费用应在领取中标通知书时付清。</w:t>
      </w:r>
      <w:r/>
    </w:p>
    <w:p>
      <w:pPr>
        <w:pStyle w:val="834"/>
        <w:ind w:firstLine="502"/>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37.2中标供应商如果未按规定支付招标代理服务费，招标采购单位保留诉讼的权利。</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38</w:t>
      </w:r>
      <w:r>
        <w:rPr>
          <w:rFonts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监督和公证</w:t>
      </w:r>
      <w:r/>
    </w:p>
    <w:p>
      <w:pPr>
        <w:ind w:firstLine="54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38.1政府有关监督部门将对招投标全过程进行监督。</w:t>
      </w:r>
      <w:r/>
    </w:p>
    <w:p>
      <w:pPr>
        <w:ind w:firstLine="54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38.2招标人的开标、评标过程将通过公证机关进行公证。</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39.政府采购政策</w:t>
      </w:r>
      <w:r/>
    </w:p>
    <w:p>
      <w:pPr>
        <w:ind w:firstLine="482"/>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39.1 针对中小型企业的评审：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根据财政部、工业和信息化部关于印发意见“财库〔2020〕46号” 关于印发《政府采购促进中小企业发展管理办法》的通知规定，对属于小型、微型企业的响应单位给予评审加分：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1、中小微型企业的认定：</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themeColor="text1"/>
          <w:sz w:val="24"/>
          <w:highlight w:val="none"/>
          <w14:textFill>
            <w14:solidFill>
              <w14:schemeClr w14:val="tx1"/>
            </w14:solidFill>
          </w14:textFill>
        </w:rPr>
        <w:t xml:space="preserve">《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tabs>
          <w:tab w:val="left" w:pos="567"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其中，供应商提供的货物既有中小企业制造货物，也有大型企业制造货物的，不享受中小企业扶持政策。</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2、价格的折扣：</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如供应商属于小型或微型企业，对小型和微型企业产品或服务的价格给予</w:t>
      </w:r>
      <w:r>
        <w:rPr>
          <w:rFonts w:hint="eastAsia" w:ascii="宋体" w:hAnsi="宋体" w:cs="宋体"/>
          <w:b/>
          <w:bCs/>
          <w:color w:val="000000" w:themeColor="text1"/>
          <w:sz w:val="24"/>
          <w:highlight w:val="none"/>
          <w:u w:val="single"/>
          <w14:textFill>
            <w14:solidFill>
              <w14:schemeClr w14:val="tx1"/>
            </w14:solidFill>
          </w14:textFill>
        </w:rPr>
        <w:t xml:space="preserve">20%</w:t>
      </w:r>
      <w:r>
        <w:rPr>
          <w:rFonts w:hint="eastAsia" w:ascii="宋体" w:hAnsi="宋体" w:cs="宋体"/>
          <w:color w:val="000000" w:themeColor="text1"/>
          <w:sz w:val="24"/>
          <w:highlight w:val="none"/>
          <w14:textFill>
            <w14:solidFill>
              <w14:schemeClr w14:val="tx1"/>
            </w14:solidFill>
          </w14:textFill>
        </w:rPr>
        <w:t xml:space="preserve">的扣除，用扣除后的价格参与评审；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（2）在货物采购项目中，货物由中小企业制造，即货物由中小企业生产且使用该中小企业商号或者注册商标；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（4）一个项目中包含多项货物采购的，供应商提供的货物既有中小企业制造货物，也有大型企业制造货物的，不享受中小企业扶持政策。</w:t>
      </w:r>
      <w:r/>
    </w:p>
    <w:p>
      <w:pPr>
        <w:pStyle w:val="857"/>
        <w:ind w:firstLine="480"/>
        <w:rPr>
          <w:rFonts w:hAnsi="宋体" w:cs="宋体"/>
          <w:color w:val="000000" w:themeColor="text1"/>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 xml:space="preserve">（5）以联合体形式参加政府采购活动，联合体各方均为中小企业的，联合体视同中小企业。其中，联合体各方均为小微企业的，联合体视同小微企业。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（6）若中小微企业提供的 “中小企业声明函” 或认定证明为虚假声明则视同提供虚假材料，按政府采购相关规定处理并报请政府监管部门给予行政处罚。</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以上规定未尽事项，按《政府采购促进中小企业发展管理办法》等有关制度规定执行。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①填报“中小企业声明函”需严格按“工信部联企业〔2011〕300号通知”中的《中小企业划型标准规定》进行。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②若响应供应商提供的 “中小企业声明函”（见附件） 或认定证明为虚假声明则视同提供虚假材料，按“政府采购法”相关规定处理并报请政府监管部门给予行政处罚。</w:t>
      </w:r>
      <w:r/>
    </w:p>
    <w:p>
      <w:pPr>
        <w:ind w:firstLine="482"/>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39.2 促进残疾人就业和支持监狱企业发展有关政策：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2、如供应商属于监狱企业视同小型或微型企业，享受评审中价格扣除等政府采购促进中小企业发展的政府采购政策。</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39.3 采购文件的质疑、澄清</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（2）本次采购文件要求供应商在法定质疑期内一次性提出针对同一采购程序环节的质疑。</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（4）供应商提出质疑应当提交质疑函、报名确认单和必要的证明材料。质疑函应当包括下列内容：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1）供应商的姓名或者名称、地址、邮编、联系人及联系电话；</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2）质疑项目的名称、编号；</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3）具体、明确的质疑事项和与质疑事项相关的请求；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4）事实依据；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5）必要的法律依据；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6）提出质疑的日期。</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549"/>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7）质疑联系方式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联系人：吴苏玲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话：13338693987 </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39.4节能产品和环境标志产品</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p>
    <w:p>
      <w:pPr>
        <w:ind w:firstLine="482"/>
        <w:jc w:val="lef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40.未尽事宜</w:t>
      </w:r>
      <w:r/>
    </w:p>
    <w:p>
      <w:pPr>
        <w:ind w:firstLine="480"/>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40.1按《</w:t>
      </w:r>
      <w:r>
        <w:rPr>
          <w:rFonts w:ascii="宋体" w:hAnsi="宋体"/>
          <w:color w:val="000000" w:themeColor="text1"/>
          <w:sz w:val="24"/>
          <w:highlight w:val="none"/>
          <w14:textFill>
            <w14:solidFill>
              <w14:schemeClr w14:val="tx1"/>
            </w14:solidFill>
          </w14:textFill>
        </w:rPr>
        <w:t xml:space="preserve">中华人民共和国政府采购法</w:t>
      </w:r>
      <w:r>
        <w:rPr>
          <w:rFonts w:hint="eastAsia" w:ascii="宋体" w:hAnsi="宋体"/>
          <w:color w:val="000000" w:themeColor="text1"/>
          <w:sz w:val="24"/>
          <w:highlight w:val="none"/>
          <w14:textFill>
            <w14:solidFill>
              <w14:schemeClr w14:val="tx1"/>
            </w14:solidFill>
          </w14:textFill>
        </w:rPr>
        <w:t xml:space="preserve">》及其他有关法律法规的规定执行。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27"/>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 投标文件格式</w:t>
      </w:r>
      <w:bookmarkEnd w:id="2"/>
      <w:r/>
      <w:r/>
    </w:p>
    <w:p>
      <w:pPr>
        <w:pStyle w:val="834"/>
        <w:ind w:firstLine="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说明：</w:t>
      </w:r>
      <w:r/>
    </w:p>
    <w:p>
      <w:pPr>
        <w:pStyle w:val="834"/>
        <w:ind w:firstLine="0"/>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   </w:t>
      </w:r>
      <w:r>
        <w:rPr>
          <w:rFonts w:ascii="宋体" w:hAnsi="宋体"/>
          <w:b/>
          <w:color w:val="000000" w:themeColor="text1"/>
          <w:highlight w:val="none"/>
          <w14:textFill>
            <w14:solidFill>
              <w14:schemeClr w14:val="tx1"/>
            </w14:solidFill>
          </w14:textFill>
        </w:rPr>
        <w:t xml:space="preserve"> </w:t>
      </w:r>
      <w:r>
        <w:rPr>
          <w:rFonts w:hint="eastAsia" w:ascii="宋体" w:hAnsi="宋体"/>
          <w:b/>
          <w:color w:val="000000" w:themeColor="text1"/>
          <w:highlight w:val="none"/>
          <w14:textFill>
            <w14:solidFill>
              <w14:schemeClr w14:val="tx1"/>
            </w14:solidFill>
          </w14:textFill>
        </w:rPr>
        <w:t xml:space="preserve">对本章所有的投标书格式 ，投标方可根据自身情况进行补充和修改，但补充和修改不得造成与本格式内容有实质性的违背。</w:t>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color w:val="000000" w:themeColor="text1"/>
          <w:sz w:val="30"/>
          <w:szCs w:val="30"/>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br w:type="page" w:clear="all"/>
      </w:r>
      <w:bookmarkStart w:id="24" w:name="_Toc263753600"/>
      <w:r/>
      <w:bookmarkStart w:id="25" w:name="_Toc250041691"/>
      <w:r/>
      <w:bookmarkStart w:id="26" w:name="_Toc256175382"/>
      <w:r/>
      <w:bookmarkStart w:id="27" w:name="_Toc237145385"/>
      <w:r/>
      <w:bookmarkStart w:id="28" w:name="_Toc263768864"/>
      <w:r/>
      <w:bookmarkStart w:id="29" w:name="_Toc297204985"/>
      <w:r/>
      <w:bookmarkStart w:id="30" w:name="_Toc217446085"/>
      <w:r>
        <w:rPr>
          <w:rFonts w:hint="eastAsia" w:ascii="宋体" w:hAnsi="宋体"/>
          <w:b/>
          <w:color w:val="000000" w:themeColor="text1"/>
          <w:sz w:val="30"/>
          <w:szCs w:val="30"/>
          <w:highlight w:val="none"/>
          <w14:textFill>
            <w14:solidFill>
              <w14:schemeClr w14:val="tx1"/>
            </w14:solidFill>
          </w14:textFill>
        </w:rPr>
        <w:t xml:space="preserve">附件一、投 标 函</w:t>
      </w:r>
      <w:r/>
    </w:p>
    <w:p>
      <w:pPr>
        <w:ind w:left="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41"/>
        <w:ind w:left="0"/>
        <w:spacing w:after="0"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（采购代理机构名称）</w:t>
      </w:r>
      <w:r>
        <w:rPr>
          <w:rFonts w:hint="eastAsia" w:ascii="宋体" w:hAnsi="宋体"/>
          <w:bCs/>
          <w:color w:val="000000" w:themeColor="text1"/>
          <w:sz w:val="24"/>
          <w:highlight w:val="none"/>
          <w14:textFill>
            <w14:solidFill>
              <w14:schemeClr w14:val="tx1"/>
            </w14:solidFill>
          </w14:textFill>
        </w:rPr>
        <w:t xml:space="preserve">：</w:t>
      </w:r>
      <w:r/>
    </w:p>
    <w:p>
      <w:pPr>
        <w:pStyle w:val="841"/>
        <w:ind w:left="0" w:firstLine="600"/>
        <w:spacing w:after="0" w:line="360" w:lineRule="auto"/>
        <w:rPr>
          <w:rFonts w:ascii="宋体" w:hAnsi="宋体"/>
          <w:bCs/>
          <w:i/>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我方全面研究了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
          <w:bCs/>
          <w:i/>
          <w:color w:val="000000" w:themeColor="text1"/>
          <w:sz w:val="24"/>
          <w:highlight w:val="none"/>
          <w:u w:val="single"/>
          <w14:textFill>
            <w14:solidFill>
              <w14:schemeClr w14:val="tx1"/>
            </w14:solidFill>
          </w14:textFill>
        </w:rPr>
        <w:t xml:space="preserve">（招标编号）</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项目招标文件，决定参加贵单位组织的本项目的投标。</w:t>
      </w:r>
      <w:r/>
    </w:p>
    <w:p>
      <w:pPr>
        <w:pStyle w:val="841"/>
        <w:numPr>
          <w:ilvl w:val="0"/>
          <w:numId w:val="2"/>
        </w:numPr>
        <w:ind w:left="0" w:firstLine="600"/>
        <w:spacing w:after="0"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我方自愿按照招标文件规定的各项要求向采购人提供所需货物和服务。</w:t>
      </w:r>
      <w:r>
        <w:rPr>
          <w:rFonts w:ascii="宋体" w:hAnsi="宋体"/>
          <w:bCs/>
          <w:color w:val="000000" w:themeColor="text1"/>
          <w:sz w:val="24"/>
          <w:highlight w:val="none"/>
          <w14:textFill>
            <w14:solidFill>
              <w14:schemeClr w14:val="tx1"/>
            </w14:solidFill>
          </w14:textFill>
        </w:rPr>
        <w:t xml:space="preserve">我</w:t>
      </w:r>
      <w:r>
        <w:rPr>
          <w:rFonts w:hint="eastAsia" w:ascii="宋体" w:hAnsi="宋体"/>
          <w:bCs/>
          <w:color w:val="000000" w:themeColor="text1"/>
          <w:sz w:val="24"/>
          <w:highlight w:val="none"/>
          <w14:textFill>
            <w14:solidFill>
              <w14:schemeClr w14:val="tx1"/>
            </w14:solidFill>
          </w14:textFill>
        </w:rPr>
        <w:t xml:space="preserve">方的投标报价已包含</w:t>
      </w:r>
      <w:r>
        <w:rPr>
          <w:rFonts w:ascii="宋体" w:hAnsi="宋体"/>
          <w:bCs/>
          <w:color w:val="000000" w:themeColor="text1"/>
          <w:sz w:val="24"/>
          <w:highlight w:val="none"/>
          <w14:textFill>
            <w14:solidFill>
              <w14:schemeClr w14:val="tx1"/>
            </w14:solidFill>
          </w14:textFill>
        </w:rPr>
        <w:t xml:space="preserve">完成该项工作所需</w:t>
      </w:r>
      <w:r>
        <w:rPr>
          <w:rFonts w:hint="eastAsia" w:ascii="宋体" w:hAnsi="宋体"/>
          <w:color w:val="000000" w:themeColor="text1"/>
          <w:sz w:val="24"/>
          <w:highlight w:val="none"/>
          <w14:textFill>
            <w14:solidFill>
              <w14:schemeClr w14:val="tx1"/>
            </w14:solidFill>
          </w14:textFill>
        </w:rPr>
        <w:t xml:space="preserve">全部货物和服务、</w:t>
      </w:r>
      <w:r>
        <w:rPr>
          <w:rFonts w:ascii="宋体" w:hAnsi="宋体"/>
          <w:color w:val="000000" w:themeColor="text1"/>
          <w:sz w:val="24"/>
          <w:highlight w:val="none"/>
          <w14:textFill>
            <w14:solidFill>
              <w14:schemeClr w14:val="tx1"/>
            </w14:solidFill>
          </w14:textFill>
        </w:rPr>
        <w:t xml:space="preserve">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pStyle w:val="841"/>
        <w:ind w:left="0" w:firstLine="480"/>
        <w:spacing w:after="0" w:line="360" w:lineRule="auto"/>
        <w:rPr>
          <w:rFonts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2、一旦我方中标，</w:t>
      </w:r>
      <w:r>
        <w:rPr>
          <w:rFonts w:hint="eastAsia" w:hAnsi="宋体"/>
          <w:color w:val="000000" w:themeColor="text1"/>
          <w:sz w:val="24"/>
          <w:highlight w:val="none"/>
          <w14:textFill>
            <w14:solidFill>
              <w14:schemeClr w14:val="tx1"/>
            </w14:solidFill>
          </w14:textFill>
        </w:rPr>
        <w:t xml:space="preserve">我们将严格履行招标文件中规定的每一项要求，按期、按质、按量履行合同的义务。</w:t>
      </w:r>
      <w:r/>
    </w:p>
    <w:p>
      <w:pPr>
        <w:pStyle w:val="860"/>
        <w:ind w:firstLine="480"/>
        <w:spacing w:line="360" w:lineRule="auto"/>
        <w:rPr>
          <w:rFonts w:hAnsi="宋体" w:eastAsia="宋体"/>
          <w:color w:val="000000" w:themeColor="text1"/>
          <w:sz w:val="24"/>
          <w:szCs w:val="24"/>
          <w:highlight w:val="none"/>
          <w14:textFill>
            <w14:solidFill>
              <w14:schemeClr w14:val="tx1"/>
            </w14:solidFill>
          </w14:textFill>
        </w:rPr>
      </w:pPr>
      <w:r>
        <w:rPr>
          <w:rFonts w:hAnsi="宋体" w:eastAsia="宋体"/>
          <w:color w:val="000000" w:themeColor="text1"/>
          <w:sz w:val="24"/>
          <w:szCs w:val="24"/>
          <w:highlight w:val="none"/>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、我们已</w:t>
      </w:r>
      <w:r>
        <w:rPr>
          <w:rFonts w:hAnsi="宋体" w:eastAsia="宋体"/>
          <w:color w:val="000000" w:themeColor="text1"/>
          <w:sz w:val="24"/>
          <w:szCs w:val="24"/>
          <w:highlight w:val="none"/>
          <w14:textFill>
            <w14:solidFill>
              <w14:schemeClr w14:val="tx1"/>
            </w14:solidFill>
          </w14:textFill>
        </w:rPr>
        <w:t xml:space="preserve">详细审查全部招标文件，包括</w:t>
      </w:r>
      <w:r>
        <w:rPr>
          <w:rFonts w:hint="eastAsia" w:hAnsi="宋体" w:eastAsia="宋体"/>
          <w:color w:val="000000" w:themeColor="text1"/>
          <w:sz w:val="24"/>
          <w:szCs w:val="24"/>
          <w:highlight w:val="none"/>
          <w14:textFill>
            <w14:solidFill>
              <w14:schemeClr w14:val="tx1"/>
            </w14:solidFill>
          </w14:textFill>
        </w:rPr>
        <w:t xml:space="preserve">澄清或者修改</w:t>
      </w:r>
      <w:r>
        <w:rPr>
          <w:rFonts w:hAnsi="宋体" w:eastAsia="宋体"/>
          <w:color w:val="000000" w:themeColor="text1"/>
          <w:sz w:val="24"/>
          <w:szCs w:val="24"/>
          <w:highlight w:val="none"/>
          <w14:textFill>
            <w14:solidFill>
              <w14:schemeClr w14:val="tx1"/>
            </w14:solidFill>
          </w14:textFill>
        </w:rPr>
        <w:t xml:space="preserve">(如有)</w:t>
      </w:r>
      <w:r>
        <w:rPr>
          <w:rFonts w:hint="eastAsia" w:hAnsi="宋体" w:eastAsia="宋体"/>
          <w:color w:val="000000" w:themeColor="text1"/>
          <w:sz w:val="24"/>
          <w:szCs w:val="24"/>
          <w:highlight w:val="none"/>
          <w14:textFill>
            <w14:solidFill>
              <w14:schemeClr w14:val="tx1"/>
            </w14:solidFill>
          </w14:textFill>
        </w:rPr>
        <w:t xml:space="preserve">，对招标文件及澄清或者修改</w:t>
      </w:r>
      <w:r>
        <w:rPr>
          <w:rFonts w:hAnsi="宋体" w:eastAsia="宋体"/>
          <w:color w:val="000000" w:themeColor="text1"/>
          <w:sz w:val="24"/>
          <w:szCs w:val="24"/>
          <w:highlight w:val="none"/>
          <w14:textFill>
            <w14:solidFill>
              <w14:schemeClr w14:val="tx1"/>
            </w14:solidFill>
          </w14:textFill>
        </w:rPr>
        <w:t xml:space="preserve">(如有)</w:t>
      </w:r>
      <w:r>
        <w:rPr>
          <w:rFonts w:hint="eastAsia" w:hAnsi="宋体" w:eastAsia="宋体"/>
          <w:color w:val="000000" w:themeColor="text1"/>
          <w:sz w:val="24"/>
          <w:szCs w:val="24"/>
          <w:highlight w:val="none"/>
          <w14:textFill>
            <w14:solidFill>
              <w14:schemeClr w14:val="tx1"/>
            </w14:solidFill>
          </w14:textFill>
        </w:rPr>
        <w:t xml:space="preserve">无任何异议</w:t>
      </w:r>
      <w:r>
        <w:rPr>
          <w:rFonts w:hAnsi="宋体" w:eastAsia="宋体"/>
          <w:color w:val="000000" w:themeColor="text1"/>
          <w:sz w:val="24"/>
          <w:szCs w:val="24"/>
          <w:highlight w:val="none"/>
          <w14:textFill>
            <w14:solidFill>
              <w14:schemeClr w14:val="tx1"/>
            </w14:solidFill>
          </w14:textFill>
        </w:rPr>
        <w:t xml:space="preserve">。我们完全理解并同意放弃对这方面有不明及误解的权力。</w:t>
      </w:r>
      <w:r/>
    </w:p>
    <w:p>
      <w:pPr>
        <w:pStyle w:val="860"/>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4、我们同意按招标文件中的规定，本投标书的有效期限为自投标截止之日起</w:t>
      </w:r>
      <w:r>
        <w:rPr>
          <w:rFonts w:hint="eastAsia" w:hAnsi="宋体" w:eastAsia="宋体"/>
          <w:bCs/>
          <w:color w:val="000000" w:themeColor="text1"/>
          <w:sz w:val="24"/>
          <w:szCs w:val="24"/>
          <w:highlight w:val="none"/>
          <w14:textFill>
            <w14:solidFill>
              <w14:schemeClr w14:val="tx1"/>
            </w14:solidFill>
          </w14:textFill>
        </w:rPr>
        <w:t xml:space="preserve">____</w:t>
      </w:r>
      <w:r>
        <w:rPr>
          <w:rFonts w:hint="eastAsia" w:hAnsi="宋体" w:eastAsia="宋体"/>
          <w:color w:val="000000" w:themeColor="text1"/>
          <w:sz w:val="24"/>
          <w:szCs w:val="24"/>
          <w:highlight w:val="none"/>
          <w14:textFill>
            <w14:solidFill>
              <w14:schemeClr w14:val="tx1"/>
            </w14:solidFill>
          </w14:textFill>
        </w:rPr>
        <w:t xml:space="preserve">天。</w:t>
      </w:r>
      <w:r/>
    </w:p>
    <w:p>
      <w:pPr>
        <w:pStyle w:val="860"/>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5、我们愿意提供招标采购单位在招标文件中要求的所有资料。</w:t>
      </w:r>
      <w:r/>
    </w:p>
    <w:p>
      <w:pPr>
        <w:pStyle w:val="860"/>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6、我们愿意遵守招标公告及招标文件中所列的收费标准。</w:t>
      </w:r>
      <w:r/>
    </w:p>
    <w:p>
      <w:pPr>
        <w:pStyle w:val="860"/>
        <w:ind w:firstLine="480"/>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7、我们承诺该项投标在开标后的全过程中保持有效，不作任何更改和变动。</w:t>
      </w:r>
      <w:r/>
    </w:p>
    <w:p>
      <w:pPr>
        <w:pStyle w:val="841"/>
        <w:ind w:left="0" w:firstLine="480"/>
        <w:spacing w:after="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841"/>
        <w:ind w:left="0" w:firstLine="600"/>
        <w:spacing w:after="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        （盖章）</w:t>
      </w:r>
      <w:r/>
    </w:p>
    <w:p>
      <w:pPr>
        <w:pStyle w:val="841"/>
        <w:ind w:left="0" w:firstLine="600"/>
        <w:spacing w:after="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法定代表人或代理人（签字或盖章）：</w:t>
      </w:r>
      <w:r/>
    </w:p>
    <w:p>
      <w:pPr>
        <w:pStyle w:val="841"/>
        <w:ind w:left="0" w:firstLine="600"/>
        <w:spacing w:after="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通讯地址：                                        邮政编码：</w:t>
      </w:r>
      <w:r/>
    </w:p>
    <w:p>
      <w:pPr>
        <w:pStyle w:val="841"/>
        <w:ind w:left="0" w:firstLine="600"/>
        <w:spacing w:after="0"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联系电话：                                        传    真：</w:t>
      </w:r>
      <w:r/>
    </w:p>
    <w:p>
      <w:pPr>
        <w:pStyle w:val="841"/>
        <w:ind w:firstLine="240"/>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rPr>
          <w:rFonts w:ascii="宋体" w:hAnsi="宋体"/>
          <w:color w:val="000000" w:themeColor="text1"/>
          <w:szCs w:val="21"/>
          <w:highlight w:val="none"/>
          <w14:textFill>
            <w14:solidFill>
              <w14:schemeClr w14:val="tx1"/>
            </w14:solidFill>
          </w14:textFill>
        </w:rPr>
        <w:br w:type="page" w:clear="all"/>
      </w:r>
      <w:r/>
    </w:p>
    <w:p>
      <w:pPr>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附件二、法定代表人授权委托书</w:t>
      </w:r>
      <w:r/>
    </w:p>
    <w:p>
      <w:pPr>
        <w:pStyle w:val="83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本授权委托书声明：</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我</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（姓名）系</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（投标人名称）的法定代表人，现授权委托</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（姓名）为我公司授权代表（即代理人），以本公司的名义参加</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(采购代理机构)组织实施的编号为</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号的</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（项目名称）</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招标活动。代理人在开标、评标、合同谈判过程中所签署的一切文件和处理与这有关的一切事务，我均予以承认。</w:t>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代理人无转委托权。特此委托。</w:t>
      </w:r>
      <w:r/>
    </w:p>
    <w:p>
      <w:pPr>
        <w:pStyle w:val="834"/>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投标人名称：（盖章）</w:t>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法定代表人：（签字或盖章）</w:t>
      </w:r>
      <w:r/>
    </w:p>
    <w:p>
      <w:pPr>
        <w:pStyle w:val="834"/>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代理人：（签字或盖章）</w:t>
      </w:r>
      <w:r/>
    </w:p>
    <w:p>
      <w:pPr>
        <w:pStyle w:val="834"/>
        <w:jc w:val="righ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jc w:val="righ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jc w:val="righ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pStyle w:val="834"/>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年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月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日</w:t>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834"/>
        <w:rPr>
          <w:rFonts w:ascii="宋体" w:hAnsi="宋体"/>
          <w:color w:val="000000" w:themeColor="text1"/>
          <w:sz w:val="28"/>
          <w:szCs w:val="28"/>
          <w:highlight w:val="none"/>
          <w:u w:val="single"/>
          <w14:textFill>
            <w14:solidFill>
              <w14:schemeClr w14:val="tx1"/>
            </w14:solidFill>
          </w14:textFill>
        </w:rPr>
      </w:pPr>
      <w:r>
        <w:rPr>
          <w:rFonts w:ascii="宋体" w:hAnsi="宋体"/>
          <w:color w:val="000000" w:themeColor="text1"/>
          <w:sz w:val="28"/>
          <w:szCs w:val="28"/>
          <w:highlight w:val="none"/>
          <w:u w:val="single"/>
          <w14:textFill>
            <w14:solidFill>
              <w14:schemeClr w14:val="tx1"/>
            </w14:solidFill>
          </w14:textFill>
        </w:rPr>
      </w:r>
      <w:r/>
    </w:p>
    <w:p>
      <w:pPr>
        <w:jc w:val="center"/>
        <w:rPr>
          <w:color w:val="000000" w:themeColor="text1"/>
          <w:sz w:val="28"/>
          <w:highlight w:val="none"/>
          <w:u w:val="single"/>
          <w14:textFill>
            <w14:solidFill>
              <w14:schemeClr w14:val="tx1"/>
            </w14:solidFill>
          </w14:textFill>
        </w:rPr>
      </w:pPr>
      <w:r>
        <w:rPr>
          <w:color w:val="000000" w:themeColor="text1"/>
          <w:sz w:val="28"/>
          <w:highlight w:val="none"/>
          <w:u w:val="single"/>
          <w14:textFill>
            <w14:solidFill>
              <w14:schemeClr w14:val="tx1"/>
            </w14:solidFill>
          </w14:textFill>
        </w:rPr>
        <w:br w:type="page" w:clear="all"/>
      </w:r>
      <w:r/>
    </w:p>
    <w:p>
      <w:pPr>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附件三、开标一览表</w:t>
      </w:r>
      <w:bookmarkEnd w:id="24"/>
      <w:r/>
      <w:bookmarkEnd w:id="25"/>
      <w:r/>
      <w:bookmarkEnd w:id="26"/>
      <w:r/>
      <w:bookmarkEnd w:id="27"/>
      <w:r/>
      <w:bookmarkEnd w:id="28"/>
      <w:r/>
      <w:bookmarkEnd w:id="29"/>
      <w:r/>
      <w:bookmarkEnd w:id="30"/>
      <w:r/>
    </w:p>
    <w:p>
      <w:pPr>
        <w:rPr>
          <w:rFonts w:ascii="宋体" w:hAnsi="宋体"/>
          <w:color w:val="000000" w:themeColor="text1"/>
          <w:szCs w:val="21"/>
          <w:highlight w:val="none"/>
          <w14:textFill>
            <w14:solidFill>
              <w14:schemeClr w14:val="tx1"/>
            </w14:solidFill>
          </w14:textFill>
        </w:rPr>
      </w:pPr>
      <w:r/>
      <w:bookmarkStart w:id="31" w:name="_Toc217446086"/>
      <w:r/>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开标一览表（总报价）</w:t>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投标人全称（加盖公章）：</w:t>
      </w:r>
      <w:bookmarkStart w:id="32" w:name="TBR"/>
      <w:r/>
      <w:bookmarkEnd w:id="32"/>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项目编号：  </w:t>
      </w:r>
      <w:bookmarkStart w:id="33" w:name="XMBH"/>
      <w:r/>
      <w:bookmarkEnd w:id="33"/>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分包号：</w:t>
      </w:r>
      <w:bookmarkStart w:id="34" w:name="FBH"/>
      <w:r/>
      <w:bookmarkEnd w:id="34"/>
      <w:r/>
      <w:r/>
    </w:p>
    <w:tbl>
      <w:tblPr>
        <w:tblStyle w:val="6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614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cs="宋体"/>
                <w:color w:val="000000" w:themeColor="text1"/>
                <w:sz w:val="24"/>
                <w:highlight w:val="none"/>
                <w14:textFill>
                  <w14:solidFill>
                    <w14:schemeClr w14:val="tx1"/>
                  </w14:solidFill>
                </w14:textFill>
              </w:rPr>
            </w:pPr>
            <w:r/>
            <w:bookmarkStart w:id="35" w:name="XMMC"/>
            <w:r/>
            <w:bookmarkEnd w:id="3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bookmarkStart w:id="36" w:name="JEXX"/>
            <w:r/>
            <w:bookmarkEnd w:id="36"/>
            <w:r>
              <w:rPr>
                <w:rFonts w:hint="eastAsia" w:ascii="宋体" w:hAnsi="宋体" w:cs="宋体"/>
                <w:color w:val="000000" w:themeColor="text1"/>
                <w:sz w:val="24"/>
                <w:highlight w:val="none"/>
                <w14:textFill>
                  <w14:solidFill>
                    <w14:schemeClr w14:val="tx1"/>
                  </w14:solidFill>
                </w14:textFill>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cs="宋体"/>
                <w:color w:val="000000" w:themeColor="text1"/>
                <w:sz w:val="24"/>
                <w:highlight w:val="none"/>
                <w14:textFill>
                  <w14:solidFill>
                    <w14:schemeClr w14:val="tx1"/>
                  </w14:solidFill>
                </w14:textFill>
              </w:rPr>
            </w:pPr>
            <w:r/>
            <w:bookmarkStart w:id="37" w:name="JEDX"/>
            <w:r/>
            <w:bookmarkEnd w:id="37"/>
            <w:r/>
            <w:r/>
          </w:p>
        </w:tc>
      </w:tr>
    </w:tbl>
    <w:p>
      <w:pPr>
        <w:spacing w:line="6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   </w:t>
      </w:r>
      <w:bookmarkStart w:id="38" w:name="NF"/>
      <w:r/>
      <w:bookmarkEnd w:id="38"/>
      <w:r>
        <w:rPr>
          <w:rFonts w:hint="eastAsia" w:ascii="宋体" w:hAnsi="宋体" w:cs="宋体"/>
          <w:color w:val="000000" w:themeColor="text1"/>
          <w:sz w:val="24"/>
          <w:highlight w:val="none"/>
          <w14:textFill>
            <w14:solidFill>
              <w14:schemeClr w14:val="tx1"/>
            </w14:solidFill>
          </w14:textFill>
        </w:rPr>
        <w:t xml:space="preserve"> 年 </w:t>
      </w:r>
      <w:bookmarkStart w:id="39" w:name="YF"/>
      <w:r/>
      <w:bookmarkEnd w:id="39"/>
      <w:r>
        <w:rPr>
          <w:rFonts w:hint="eastAsia" w:ascii="宋体" w:hAnsi="宋体" w:cs="宋体"/>
          <w:color w:val="000000" w:themeColor="text1"/>
          <w:sz w:val="24"/>
          <w:highlight w:val="none"/>
          <w14:textFill>
            <w14:solidFill>
              <w14:schemeClr w14:val="tx1"/>
            </w14:solidFill>
          </w14:textFill>
        </w:rPr>
        <w:t xml:space="preserve">  月 </w:t>
      </w:r>
      <w:bookmarkStart w:id="40" w:name="RI"/>
      <w:r/>
      <w:bookmarkEnd w:id="40"/>
      <w:r>
        <w:rPr>
          <w:rFonts w:hint="eastAsia" w:ascii="宋体" w:hAnsi="宋体" w:cs="宋体"/>
          <w:color w:val="000000" w:themeColor="text1"/>
          <w:sz w:val="24"/>
          <w:highlight w:val="none"/>
          <w14:textFill>
            <w14:solidFill>
              <w14:schemeClr w14:val="tx1"/>
            </w14:solidFill>
          </w14:textFill>
        </w:rPr>
        <w:t xml:space="preserve">  日</w:t>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填写说明：</w:t>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开标一览表必须加盖投标人公章（复印件无效）。</w:t>
      </w:r>
      <w:r/>
    </w:p>
    <w:p>
      <w:pPr>
        <w:ind w:firstLine="420"/>
        <w:spacing w:line="44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如有分包，投标人投任何一个包的标的，都需单独填写开标一览表。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line="400" w:lineRule="exac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附件四、分项报价明细表</w:t>
      </w:r>
      <w:bookmarkEnd w:id="31"/>
      <w:r/>
      <w:r/>
    </w:p>
    <w:p>
      <w:pPr>
        <w:spacing w:line="400" w:lineRule="exact"/>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834"/>
        <w:ind w:firstLine="0"/>
        <w:spacing w:line="360" w:lineRule="auto"/>
        <w:tabs>
          <w:tab w:val="left" w:pos="7020" w:leader="none"/>
        </w:tabs>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olor w:val="000000" w:themeColor="text1"/>
          <w:highlight w:val="none"/>
          <w14:textFill>
            <w14:solidFill>
              <w14:schemeClr w14:val="tx1"/>
            </w14:solidFill>
          </w14:textFill>
        </w:rPr>
        <w:tab/>
      </w:r>
      <w:r/>
    </w:p>
    <w:p>
      <w:pPr>
        <w:pStyle w:val="834"/>
        <w:ind w:firstLine="0"/>
        <w:spacing w:line="360" w:lineRule="auto"/>
        <w:tabs>
          <w:tab w:val="left" w:pos="7560" w:leader="none"/>
        </w:tabs>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招标编号：</w:t>
      </w:r>
      <w:r>
        <w:rPr>
          <w:rFonts w:hint="eastAsia" w:ascii="宋体" w:hAnsi="宋体"/>
          <w:color w:val="000000" w:themeColor="text1"/>
          <w:highlight w:val="none"/>
          <w14:textFill>
            <w14:solidFill>
              <w14:schemeClr w14:val="tx1"/>
            </w14:solidFill>
          </w14:textFill>
        </w:rPr>
        <w:t xml:space="preserve"> </w:t>
      </w:r>
      <w:r/>
    </w:p>
    <w:tbl>
      <w:tblPr>
        <w:tblStyle w:val="64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36"/>
        <w:gridCol w:w="696"/>
        <w:gridCol w:w="936"/>
        <w:gridCol w:w="456"/>
        <w:gridCol w:w="456"/>
        <w:gridCol w:w="456"/>
        <w:gridCol w:w="816"/>
        <w:gridCol w:w="462"/>
        <w:gridCol w:w="2605"/>
      </w:tblGrid>
      <w:tr>
        <w:trPr/>
        <w:tc>
          <w:tcPr>
            <w:tcW w:w="533"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646"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标的物名称</w:t>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品牌、生产厂家、产地</w:t>
            </w:r>
            <w:r/>
          </w:p>
        </w:tc>
        <w:tc>
          <w:tcPr>
            <w:tcW w:w="646"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型号、规格</w:t>
            </w:r>
            <w:r/>
          </w:p>
        </w:tc>
        <w:tc>
          <w:tcPr>
            <w:tcW w:w="321"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单位</w:t>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数量</w:t>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单价</w:t>
            </w:r>
            <w:r/>
          </w:p>
        </w:tc>
        <w:tc>
          <w:tcPr>
            <w:tcW w:w="636" w:type="dxa"/>
            <w:vAlign w:val="center"/>
            <w:textDirection w:val="lrTb"/>
            <w:noWrap w:val="false"/>
          </w:tcPr>
          <w:p>
            <w:pPr>
              <w:pStyle w:val="658"/>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总价</w:t>
            </w:r>
            <w:r/>
          </w:p>
        </w:tc>
        <w:tc>
          <w:tcPr>
            <w:tcW w:w="466"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交货期限</w:t>
            </w:r>
            <w:r/>
          </w:p>
        </w:tc>
        <w:tc>
          <w:tcPr>
            <w:tcW w:w="48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生产厂家是否为小、微企业（填“是”或“否”</w:t>
            </w:r>
            <w:r/>
          </w:p>
        </w:tc>
      </w:tr>
      <w:tr>
        <w:trPr/>
        <w:tc>
          <w:tcPr>
            <w:tcW w:w="533" w:type="dxa"/>
            <w:vAlign w:val="center"/>
            <w:textDirection w:val="lrTb"/>
            <w:noWrap w:val="false"/>
          </w:tcPr>
          <w:p>
            <w:pPr>
              <w:pStyle w:val="658"/>
              <w:ind w:firstLine="360"/>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1</w:t>
            </w:r>
            <w:r/>
          </w:p>
        </w:tc>
        <w:tc>
          <w:tcPr>
            <w:tcW w:w="646" w:type="dxa"/>
            <w:vAlign w:val="center"/>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w:t>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3</w:t>
            </w:r>
            <w:r/>
          </w:p>
        </w:tc>
        <w:tc>
          <w:tcPr>
            <w:tcW w:w="646" w:type="dxa"/>
            <w:vAlign w:val="center"/>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4</w:t>
            </w:r>
            <w:r/>
          </w:p>
        </w:tc>
        <w:tc>
          <w:tcPr>
            <w:tcW w:w="321" w:type="dxa"/>
            <w:vAlign w:val="center"/>
            <w:textDirection w:val="lrTb"/>
            <w:noWrap w:val="false"/>
          </w:tcPr>
          <w:p>
            <w:pPr>
              <w:pStyle w:val="658"/>
              <w:ind w:firstLine="600"/>
              <w:jc w:val="cente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5</w:t>
            </w:r>
            <w:r/>
          </w:p>
        </w:tc>
        <w:tc>
          <w:tcPr>
            <w:tcW w:w="419"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6</w:t>
            </w:r>
            <w:r/>
          </w:p>
        </w:tc>
        <w:tc>
          <w:tcPr>
            <w:tcW w:w="636" w:type="dxa"/>
            <w:vAlign w:val="center"/>
            <w:textDirection w:val="lrTb"/>
            <w:noWrap w:val="false"/>
          </w:tcPr>
          <w:p>
            <w:pPr>
              <w:pStyle w:val="658"/>
              <w:jc w:val="cente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7=5*6</w:t>
            </w:r>
            <w:r/>
          </w:p>
        </w:tc>
        <w:tc>
          <w:tcPr>
            <w:tcW w:w="466" w:type="dxa"/>
            <w:vAlign w:val="center"/>
            <w:textDirection w:val="lrTb"/>
            <w:noWrap w:val="false"/>
          </w:tcPr>
          <w:p>
            <w:pPr>
              <w:pStyle w:val="658"/>
              <w:ind w:firstLine="600"/>
              <w:jc w:val="cente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vAlign w:val="center"/>
            <w:textDirection w:val="lrTb"/>
            <w:noWrap w:val="false"/>
          </w:tcPr>
          <w:p>
            <w:pPr>
              <w:pStyle w:val="658"/>
              <w:ind w:firstLine="600"/>
              <w:jc w:val="cente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c>
          <w:tcPr>
            <w:tcW w:w="533"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4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321"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1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63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66"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489" w:type="dxa"/>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cantSplit/>
          <w:trHeight w:val="843"/>
        </w:trPr>
        <w:tc>
          <w:tcPr>
            <w:tcW w:w="533" w:type="dxa"/>
            <w:vAlign w:val="center"/>
            <w:textDirection w:val="lrTb"/>
            <w:noWrap w:val="false"/>
          </w:tcPr>
          <w:p>
            <w:pPr>
              <w:pStyle w:val="658"/>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最终报价</w:t>
            </w:r>
            <w:r/>
          </w:p>
        </w:tc>
        <w:tc>
          <w:tcPr>
            <w:gridSpan w:val="9"/>
            <w:tcW w:w="7618" w:type="dxa"/>
            <w:vAlign w:val="center"/>
            <w:textDirection w:val="lrTb"/>
            <w:noWrap w:val="false"/>
          </w:tcPr>
          <w:p>
            <w:pPr>
              <w:pStyle w:val="658"/>
              <w:ind w:firstLine="60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金额大写：</w:t>
            </w:r>
            <w:r>
              <w:rPr>
                <w:rFonts w:hint="eastAsia" w:hAnsi="宋体"/>
                <w:color w:val="000000" w:themeColor="text1"/>
                <w:sz w:val="24"/>
                <w:highlight w:val="none"/>
                <w:u w:val="single"/>
                <w14:textFill>
                  <w14:solidFill>
                    <w14:schemeClr w14:val="tx1"/>
                  </w14:solidFill>
                </w14:textFill>
              </w:rPr>
              <w:t xml:space="preserve">                            </w:t>
            </w:r>
            <w:r/>
          </w:p>
        </w:tc>
      </w:tr>
    </w:tbl>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840" w:hanging="840"/>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注：1、投标人必须按“</w:t>
      </w:r>
      <w:r>
        <w:rPr>
          <w:rFonts w:hint="eastAsia" w:ascii="宋体" w:hAnsi="宋体"/>
          <w:bCs/>
          <w:color w:val="000000" w:themeColor="text1"/>
          <w:sz w:val="24"/>
          <w:highlight w:val="none"/>
          <w14:textFill>
            <w14:solidFill>
              <w14:schemeClr w14:val="tx1"/>
            </w14:solidFill>
          </w14:textFill>
        </w:rPr>
        <w:t xml:space="preserve">分项报价明细表”的格式</w:t>
      </w:r>
      <w:r>
        <w:rPr>
          <w:rFonts w:hint="eastAsia" w:ascii="宋体" w:hAnsi="宋体"/>
          <w:color w:val="000000" w:themeColor="text1"/>
          <w:sz w:val="24"/>
          <w:highlight w:val="none"/>
          <w14:textFill>
            <w14:solidFill>
              <w14:schemeClr w14:val="tx1"/>
            </w14:solidFill>
          </w14:textFill>
        </w:rPr>
        <w:t xml:space="preserve">详细报出投标总价的各个组成部分的报价，否则作无效投标处理。</w:t>
      </w:r>
      <w:r/>
    </w:p>
    <w:p>
      <w:pPr>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 2、</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分项报价明细表”各分项报价合计应当与“开标一览表”（</w:t>
      </w:r>
      <w:r>
        <w:rPr>
          <w:rFonts w:hint="eastAsia" w:ascii="宋体" w:hAnsi="宋体" w:cs="宋体"/>
          <w:color w:val="000000" w:themeColor="text1"/>
          <w:sz w:val="24"/>
          <w:highlight w:val="none"/>
          <w14:textFill>
            <w14:solidFill>
              <w14:schemeClr w14:val="tx1"/>
            </w14:solidFill>
          </w14:textFill>
        </w:rPr>
        <w:t xml:space="preserve">投标总价</w:t>
      </w:r>
      <w:r>
        <w:rPr>
          <w:rFonts w:hint="eastAsia" w:ascii="宋体" w:hAnsi="宋体"/>
          <w:bCs/>
          <w:color w:val="000000" w:themeColor="text1"/>
          <w:sz w:val="24"/>
          <w:highlight w:val="none"/>
          <w14:textFill>
            <w14:solidFill>
              <w14:schemeClr w14:val="tx1"/>
            </w14:solidFill>
          </w14:textFill>
        </w:rPr>
        <w:t xml:space="preserve">）相等，如不相等，投标总价以“开标一览表”为准。</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        （盖章）</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pStyle w:val="658"/>
        <w:ind w:firstLine="480"/>
        <w:jc w:val="left"/>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投标日期：</w:t>
      </w:r>
      <w:r/>
    </w:p>
    <w:p>
      <w:pPr>
        <w:jc w:val="left"/>
        <w:spacing w:line="400" w:lineRule="exact"/>
        <w:rPr>
          <w:rFonts w:ascii="宋体" w:hAnsi="宋体"/>
          <w:b/>
          <w:color w:val="000000" w:themeColor="text1"/>
          <w:sz w:val="30"/>
          <w:szCs w:val="30"/>
          <w:highlight w:val="none"/>
          <w:lang w:val="zh-CN"/>
          <w14:textFill>
            <w14:solidFill>
              <w14:schemeClr w14:val="tx1"/>
            </w14:solidFill>
          </w14:textFill>
        </w:rPr>
      </w:pPr>
      <w:r>
        <w:rPr>
          <w:rFonts w:hint="eastAsia" w:ascii="宋体" w:hAnsi="宋体"/>
          <w:b/>
          <w:color w:val="000000" w:themeColor="text1"/>
          <w:sz w:val="30"/>
          <w:szCs w:val="30"/>
          <w:highlight w:val="none"/>
          <w:lang w:val="zh-CN"/>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w:t>
      </w:r>
      <w:r>
        <w:rPr>
          <w:rFonts w:hint="eastAsia" w:ascii="宋体" w:hAnsi="宋体"/>
          <w:b/>
          <w:color w:val="000000" w:themeColor="text1"/>
          <w:sz w:val="30"/>
          <w:szCs w:val="30"/>
          <w:highlight w:val="none"/>
          <w:lang w:val="zh-CN"/>
          <w14:textFill>
            <w14:solidFill>
              <w14:schemeClr w14:val="tx1"/>
            </w14:solidFill>
          </w14:textFill>
        </w:rPr>
        <w:t xml:space="preserve">五、设备配置清单表</w:t>
      </w:r>
      <w:r/>
    </w:p>
    <w:p>
      <w:pPr>
        <w:pStyle w:val="658"/>
        <w:spacing w:line="36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jc w:val="center"/>
        <w:spacing w:line="360" w:lineRule="auto"/>
        <w:rPr>
          <w:rFonts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24"/>
          <w:highlight w:val="none"/>
          <w:lang w:val="zh-CN"/>
          <w14:textFill>
            <w14:solidFill>
              <w14:schemeClr w14:val="tx1"/>
            </w14:solidFill>
          </w14:textFill>
        </w:rPr>
        <w:t xml:space="preserve">设备配置清单表</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（格式）</w:t>
      </w:r>
      <w:r/>
    </w:p>
    <w:p>
      <w:pPr>
        <w:spacing w:line="360" w:lineRule="auto"/>
        <w:rPr>
          <w:rFonts w:ascii="宋体" w:hAnsi="宋体" w:cs="宋体"/>
          <w:color w:val="000000" w:themeColor="text1"/>
          <w:spacing w:val="20"/>
          <w:sz w:val="24"/>
          <w:highlight w:val="none"/>
          <w:lang w:val="zh-CN"/>
          <w14:textFill>
            <w14:solidFill>
              <w14:schemeClr w14:val="tx1"/>
            </w14:solidFill>
          </w14:textFill>
        </w:rPr>
      </w:pPr>
      <w:r>
        <w:rPr>
          <w:rFonts w:hint="eastAsia" w:ascii="宋体" w:hAnsi="宋体" w:cs="宋体"/>
          <w:color w:val="000000" w:themeColor="text1"/>
          <w:spacing w:val="20"/>
          <w:sz w:val="24"/>
          <w:highlight w:val="none"/>
          <w:lang w:val="zh-CN"/>
          <w14:textFill>
            <w14:solidFill>
              <w14:schemeClr w14:val="tx1"/>
            </w14:solidFill>
          </w14:textFill>
        </w:rPr>
        <w:t xml:space="preserve">招标编号：</w:t>
      </w:r>
      <w:r/>
    </w:p>
    <w:tbl>
      <w:tblPr>
        <w:tblStyle w:val="64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1445"/>
        <w:gridCol w:w="1445"/>
        <w:gridCol w:w="1445"/>
        <w:gridCol w:w="1445"/>
        <w:gridCol w:w="1205"/>
        <w:gridCol w:w="840"/>
      </w:tblGrid>
      <w:tr>
        <w:trPr>
          <w:jc w:val="center"/>
          <w:trHeight w:val="454" w:hRule="exact"/>
        </w:trPr>
        <w:tc>
          <w:tcPr>
            <w:tcW w:w="86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序号</w:t>
            </w:r>
            <w:r/>
          </w:p>
        </w:tc>
        <w:tc>
          <w:tcPr>
            <w:tcW w:w="144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名称</w:t>
            </w:r>
            <w:r/>
          </w:p>
        </w:tc>
        <w:tc>
          <w:tcPr>
            <w:tcW w:w="144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品牌规格</w:t>
            </w:r>
            <w:r/>
          </w:p>
        </w:tc>
        <w:tc>
          <w:tcPr>
            <w:tcW w:w="144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生产厂家</w:t>
            </w:r>
            <w:r/>
          </w:p>
        </w:tc>
        <w:tc>
          <w:tcPr>
            <w:tcW w:w="144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单位</w:t>
            </w:r>
            <w:r/>
          </w:p>
        </w:tc>
        <w:tc>
          <w:tcPr>
            <w:tcW w:w="1205"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数量</w:t>
            </w:r>
            <w:r/>
          </w:p>
        </w:tc>
        <w:tc>
          <w:tcPr>
            <w:tcW w:w="840"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备注</w:t>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4" w:hRule="exact"/>
        </w:trPr>
        <w:tc>
          <w:tcPr>
            <w:tcW w:w="86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4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5"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投标人（公章）：</w:t>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法定代表人或授权委托人：（签字或</w:t>
      </w:r>
      <w:r>
        <w:rPr>
          <w:rFonts w:hint="eastAsia" w:ascii="宋体" w:hAnsi="宋体"/>
          <w:color w:val="000000" w:themeColor="text1"/>
          <w:sz w:val="24"/>
          <w:highlight w:val="none"/>
          <w:lang w:val="zh-CN"/>
          <w14:textFill>
            <w14:solidFill>
              <w14:schemeClr w14:val="tx1"/>
            </w14:solidFill>
          </w14:textFill>
        </w:rPr>
        <w:t xml:space="preserve">签章</w:t>
      </w:r>
      <w:r>
        <w:rPr>
          <w:rFonts w:ascii="宋体" w:hAnsi="宋体"/>
          <w:color w:val="000000" w:themeColor="text1"/>
          <w:sz w:val="24"/>
          <w:highlight w:val="none"/>
          <w:lang w:val="zh-CN"/>
          <w14:textFill>
            <w14:solidFill>
              <w14:schemeClr w14:val="tx1"/>
            </w14:solidFill>
          </w14:textFill>
        </w:rPr>
        <w:t xml:space="preserve">）</w:t>
      </w:r>
      <w:r/>
    </w:p>
    <w:p>
      <w:pPr>
        <w:ind w:firstLine="21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日期：</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年</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月</w:t>
      </w: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lang w:val="zh-CN"/>
          <w14:textFill>
            <w14:solidFill>
              <w14:schemeClr w14:val="tx1"/>
            </w14:solidFill>
          </w14:textFill>
        </w:rPr>
        <w:t xml:space="preserve">日</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注：1、各投标人可参照上述格式自制《设备清单表》投标。</w:t>
      </w:r>
      <w:r/>
    </w:p>
    <w:p>
      <w:pPr>
        <w:spacing w:line="360" w:lineRule="auto"/>
        <w:rPr>
          <w:rFonts w:ascii="宋体" w:hAnsi="宋体"/>
          <w:b/>
          <w:bCs/>
          <w:color w:val="000000" w:themeColor="text1"/>
          <w:sz w:val="30"/>
          <w:szCs w:val="30"/>
          <w:highlight w:val="none"/>
          <w:lang w:val="zh-CN"/>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w:t>
      </w:r>
      <w:r>
        <w:rPr>
          <w:rFonts w:hint="eastAsia" w:ascii="宋体" w:hAnsi="宋体"/>
          <w:b/>
          <w:bCs/>
          <w:color w:val="000000" w:themeColor="text1"/>
          <w:sz w:val="30"/>
          <w:szCs w:val="30"/>
          <w:highlight w:val="none"/>
          <w14:textFill>
            <w14:solidFill>
              <w14:schemeClr w14:val="tx1"/>
            </w14:solidFill>
          </w14:textFill>
        </w:rPr>
        <w:t xml:space="preserve">六、</w:t>
      </w:r>
      <w:r>
        <w:rPr>
          <w:rFonts w:hint="eastAsia" w:ascii="宋体" w:hAnsi="宋体"/>
          <w:b/>
          <w:bCs/>
          <w:color w:val="000000" w:themeColor="text1"/>
          <w:sz w:val="30"/>
          <w:szCs w:val="30"/>
          <w:highlight w:val="none"/>
          <w:lang w:val="zh-CN"/>
          <w14:textFill>
            <w14:solidFill>
              <w14:schemeClr w14:val="tx1"/>
            </w14:solidFill>
          </w14:textFill>
        </w:rPr>
        <w:t xml:space="preserve">投入的实施、</w:t>
      </w:r>
      <w:r>
        <w:rPr>
          <w:rFonts w:hint="eastAsia" w:ascii="宋体" w:hAnsi="宋体"/>
          <w:b/>
          <w:bCs/>
          <w:color w:val="000000" w:themeColor="text1"/>
          <w:sz w:val="30"/>
          <w:szCs w:val="30"/>
          <w:highlight w:val="none"/>
          <w14:textFill>
            <w14:solidFill>
              <w14:schemeClr w14:val="tx1"/>
            </w14:solidFill>
          </w14:textFill>
        </w:rPr>
        <w:t xml:space="preserve">交货、验收</w:t>
      </w:r>
      <w:r>
        <w:rPr>
          <w:rFonts w:hint="eastAsia" w:ascii="宋体" w:hAnsi="宋体"/>
          <w:b/>
          <w:bCs/>
          <w:color w:val="000000" w:themeColor="text1"/>
          <w:sz w:val="30"/>
          <w:szCs w:val="30"/>
          <w:highlight w:val="none"/>
          <w:lang w:val="zh-CN"/>
          <w14:textFill>
            <w14:solidFill>
              <w14:schemeClr w14:val="tx1"/>
            </w14:solidFill>
          </w14:textFill>
        </w:rPr>
        <w:t xml:space="preserve">方案</w:t>
      </w:r>
      <w:r/>
    </w:p>
    <w:tbl>
      <w:tblPr>
        <w:tblStyle w:val="64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5000" w:type="dxa"/>
            <w:textDirection w:val="lrTb"/>
            <w:noWrap w:val="false"/>
          </w:tcPr>
          <w:p>
            <w:pPr>
              <w:spacing w:line="360" w:lineRule="auto"/>
              <w:tabs>
                <w:tab w:val="left" w:pos="132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提示：</w:t>
            </w:r>
            <w:r/>
          </w:p>
          <w:p>
            <w:pPr>
              <w:numPr>
                <w:ilvl w:val="0"/>
                <w:numId w:val="3"/>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投标单位应针对本次采购项目特点编写中标后拟投入的实施、交货、验收方案及相关保证措施等；</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2、投标单位可根据自身情况编写，本页不够可另加页附后。</w:t>
            </w:r>
            <w:r/>
          </w:p>
        </w:tc>
      </w:tr>
      <w:tr>
        <w:trPr>
          <w:trHeight w:val="90"/>
        </w:trPr>
        <w:tc>
          <w:tcPr>
            <w:tcW w:w="5000" w:type="dxa"/>
            <w:textDirection w:val="lrTb"/>
            <w:noWrap w:val="false"/>
          </w:tcPr>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 w:val="24"/>
                <w:szCs w:val="22"/>
                <w:highlight w:val="none"/>
                <w14:textFill>
                  <w14:solidFill>
                    <w14:schemeClr w14:val="tx1"/>
                  </w14:solidFill>
                </w14:textFill>
              </w:rPr>
            </w:pPr>
            <w:r>
              <w:rPr>
                <w:rFonts w:ascii="宋体" w:hAnsi="宋体" w:cs="宋体"/>
                <w:color w:val="000000" w:themeColor="text1"/>
                <w:sz w:val="24"/>
                <w:szCs w:val="22"/>
                <w:highlight w:val="none"/>
                <w14:textFill>
                  <w14:solidFill>
                    <w14:schemeClr w14:val="tx1"/>
                  </w14:solidFill>
                </w14:textFill>
              </w:rPr>
            </w:r>
            <w:r/>
          </w:p>
          <w:p>
            <w:pPr>
              <w:spacing w:line="360" w:lineRule="auto"/>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                                                      </w:t>
            </w:r>
            <w:r/>
          </w:p>
          <w:p>
            <w:pPr>
              <w:ind w:firstLine="384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        （盖章）</w:t>
            </w:r>
            <w:r/>
          </w:p>
          <w:p>
            <w:pPr>
              <w:ind w:firstLine="210"/>
              <w:spacing w:line="360" w:lineRule="auto"/>
              <w:tabs>
                <w:tab w:val="left" w:pos="132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9"/>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jc w:val="left"/>
        <w:spacing w:line="48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832"/>
        <w:rPr>
          <w:rFonts w:hAnsi="宋体"/>
          <w:b/>
          <w:color w:val="000000" w:themeColor="text1"/>
          <w:szCs w:val="28"/>
          <w:highlight w:val="none"/>
          <w14:textFill>
            <w14:solidFill>
              <w14:schemeClr w14:val="tx1"/>
            </w14:solidFill>
          </w14:textFill>
        </w:rPr>
      </w:pPr>
      <w:r>
        <w:rPr>
          <w:rFonts w:hAnsi="宋体"/>
          <w:b/>
          <w:color w:val="000000" w:themeColor="text1"/>
          <w:szCs w:val="28"/>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附件七</w:t>
      </w:r>
      <w:r>
        <w:rPr>
          <w:rFonts w:ascii="宋体" w:hAnsi="宋体"/>
          <w:b/>
          <w:color w:val="000000" w:themeColor="text1"/>
          <w:sz w:val="30"/>
          <w:szCs w:val="30"/>
          <w:highlight w:val="none"/>
          <w14:textFill>
            <w14:solidFill>
              <w14:schemeClr w14:val="tx1"/>
            </w14:solidFill>
          </w14:textFill>
        </w:rPr>
        <w:t xml:space="preserve">、</w:t>
      </w:r>
      <w:r>
        <w:rPr>
          <w:rFonts w:hint="eastAsia" w:ascii="宋体" w:hAnsi="宋体"/>
          <w:b/>
          <w:color w:val="000000" w:themeColor="text1"/>
          <w:sz w:val="30"/>
          <w:szCs w:val="30"/>
          <w:highlight w:val="none"/>
          <w14:textFill>
            <w14:solidFill>
              <w14:schemeClr w14:val="tx1"/>
            </w14:solidFill>
          </w14:textFill>
        </w:rPr>
        <w:t xml:space="preserve">拟投入项目组人员一览表</w:t>
      </w:r>
      <w:r/>
    </w:p>
    <w:p>
      <w:pPr>
        <w:pStyle w:val="834"/>
        <w:tabs>
          <w:tab w:val="left" w:pos="7020" w:leader="none"/>
        </w:tabs>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24"/>
          <w:highlight w:val="none"/>
          <w:lang w:val="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项目组人员一览表</w:t>
      </w:r>
      <w:r/>
    </w:p>
    <w:p>
      <w:pPr>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招标编号：</w:t>
      </w:r>
      <w:r/>
    </w:p>
    <w:tbl>
      <w:tblPr>
        <w:tblStyle w:val="6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58"/>
        <w:gridCol w:w="1254"/>
        <w:gridCol w:w="1772"/>
        <w:gridCol w:w="3443"/>
      </w:tblGrid>
      <w:tr>
        <w:trPr>
          <w:trHeight w:val="525"/>
        </w:trPr>
        <w:tc>
          <w:tcPr>
            <w:tcW w:w="836" w:type="dxa"/>
            <w:vAlign w:val="center"/>
            <w:textDirection w:val="lrTb"/>
            <w:noWrap w:val="false"/>
          </w:tcPr>
          <w:p>
            <w:pPr>
              <w:pStyle w:val="861"/>
              <w:ind w:firstLine="0"/>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序号</w:t>
            </w:r>
            <w:r/>
          </w:p>
        </w:tc>
        <w:tc>
          <w:tcPr>
            <w:tcW w:w="1358" w:type="dxa"/>
            <w:vAlign w:val="center"/>
            <w:textDirection w:val="lrTb"/>
            <w:noWrap w:val="false"/>
          </w:tcPr>
          <w:p>
            <w:pPr>
              <w:pStyle w:val="861"/>
              <w:ind w:firstLine="0"/>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姓名</w:t>
            </w:r>
            <w:r/>
          </w:p>
        </w:tc>
        <w:tc>
          <w:tcPr>
            <w:tcW w:w="1254" w:type="dxa"/>
            <w:vAlign w:val="center"/>
            <w:textDirection w:val="lrTb"/>
            <w:noWrap w:val="false"/>
          </w:tcPr>
          <w:p>
            <w:pPr>
              <w:pStyle w:val="861"/>
              <w:ind w:firstLine="0"/>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工作年限</w:t>
            </w:r>
            <w:r/>
          </w:p>
        </w:tc>
        <w:tc>
          <w:tcPr>
            <w:tcW w:w="1772" w:type="dxa"/>
            <w:vAlign w:val="center"/>
            <w:textDirection w:val="lrTb"/>
            <w:noWrap w:val="false"/>
          </w:tcPr>
          <w:p>
            <w:pPr>
              <w:pStyle w:val="861"/>
              <w:ind w:firstLine="0"/>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曾参予过的工程</w:t>
            </w:r>
            <w:r/>
          </w:p>
        </w:tc>
        <w:tc>
          <w:tcPr>
            <w:tcW w:w="3443" w:type="dxa"/>
            <w:vAlign w:val="center"/>
            <w:textDirection w:val="lrTb"/>
            <w:noWrap w:val="false"/>
          </w:tcPr>
          <w:p>
            <w:pPr>
              <w:pStyle w:val="861"/>
              <w:ind w:firstLine="0"/>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在曾参予过的工程中担任的职务</w:t>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r>
        <w:trPr>
          <w:trHeight w:val="915"/>
        </w:trPr>
        <w:tc>
          <w:tcPr>
            <w:tcW w:w="836" w:type="dxa"/>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358" w:type="dxa"/>
            <w:vAlign w:val="center"/>
            <w:textDirection w:val="lrTb"/>
            <w:noWrap w:val="false"/>
          </w:tcPr>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254"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1772"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c>
          <w:tcPr>
            <w:tcW w:w="3443" w:type="dxa"/>
            <w:vAlign w:val="center"/>
            <w:textDirection w:val="lrTb"/>
            <w:noWrap w:val="false"/>
          </w:tcPr>
          <w:p>
            <w:pPr>
              <w:pStyle w:val="861"/>
              <w:jc w:val="center"/>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r>
            <w:r/>
          </w:p>
        </w:tc>
      </w:tr>
    </w:tbl>
    <w:p>
      <w:pPr>
        <w:pStyle w:val="861"/>
        <w:ind w:firstLine="0"/>
        <w:spacing w:line="400" w:lineRule="exact"/>
        <w:rPr>
          <w:rFonts w:ascii="宋体" w:hAnsi="宋体" w:eastAsia="宋体"/>
          <w:color w:val="000000" w:themeColor="text1"/>
          <w:sz w:val="24"/>
          <w:highlight w:val="none"/>
          <w:lang w:val="zh-CN"/>
          <w14:textFill>
            <w14:solidFill>
              <w14:schemeClr w14:val="tx1"/>
            </w14:solidFill>
          </w14:textFill>
        </w:rPr>
      </w:pPr>
      <w:r>
        <w:rPr>
          <w:rFonts w:ascii="宋体" w:hAnsi="宋体" w:eastAsia="宋体"/>
          <w:color w:val="000000" w:themeColor="text1"/>
          <w:sz w:val="24"/>
          <w:highlight w:val="none"/>
          <w:lang w:val="zh-CN"/>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        （盖章）</w:t>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pStyle w:val="658"/>
        <w:jc w:val="left"/>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投标日期：</w:t>
      </w:r>
      <w:r/>
    </w:p>
    <w:p>
      <w:pPr>
        <w:pStyle w:val="83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2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9"/>
        <w:ind w:firstLine="2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附件八、关于资格文件的声明函</w:t>
      </w:r>
      <w:r/>
    </w:p>
    <w:p>
      <w:pPr>
        <w:pStyle w:val="834"/>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ind w:firstLine="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u w:val="single"/>
          <w14:textFill>
            <w14:solidFill>
              <w14:schemeClr w14:val="tx1"/>
            </w14:solidFill>
          </w14:textFill>
        </w:rPr>
        <w:t xml:space="preserve">（采购代理机构名称）</w:t>
      </w:r>
      <w:r>
        <w:rPr>
          <w:rFonts w:hint="eastAsia" w:ascii="宋体" w:hAnsi="宋体"/>
          <w:color w:val="000000" w:themeColor="text1"/>
          <w:highlight w:val="none"/>
          <w14:textFill>
            <w14:solidFill>
              <w14:schemeClr w14:val="tx1"/>
            </w14:solidFill>
          </w14:textFill>
        </w:rPr>
        <w:t xml:space="preserve">：</w:t>
      </w:r>
      <w:r/>
    </w:p>
    <w:p>
      <w:pPr>
        <w:pStyle w:val="834"/>
        <w:ind w:firstLine="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jc w:val="left"/>
        <w:spacing w:line="360" w:lineRule="auto"/>
        <w:rPr>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1、本公司</w:t>
      </w:r>
      <w:r>
        <w:rPr>
          <w:rFonts w:hint="eastAsia"/>
          <w:color w:val="000000" w:themeColor="text1"/>
          <w:sz w:val="24"/>
          <w:szCs w:val="20"/>
          <w:highlight w:val="none"/>
          <w14:textFill>
            <w14:solidFill>
              <w14:schemeClr w14:val="tx1"/>
            </w14:solidFill>
          </w14:textFill>
        </w:rPr>
        <w:t xml:space="preserve">愿就由贵公司组织实施的编号为</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u w:val="single"/>
          <w14:textFill>
            <w14:solidFill>
              <w14:schemeClr w14:val="tx1"/>
            </w14:solidFill>
          </w14:textFill>
        </w:rPr>
        <w:t xml:space="preserve">  </w:t>
      </w:r>
      <w:r>
        <w:rPr>
          <w:color w:val="000000" w:themeColor="text1"/>
          <w:sz w:val="24"/>
          <w:szCs w:val="20"/>
          <w:highlight w:val="none"/>
          <w:u w:val="single"/>
          <w14:textFill>
            <w14:solidFill>
              <w14:schemeClr w14:val="tx1"/>
            </w14:solidFill>
          </w14:textFill>
        </w:rPr>
        <w:t xml:space="preserve"> </w:t>
      </w:r>
      <w:r>
        <w:rPr>
          <w:rFonts w:hint="eastAsia"/>
          <w:color w:val="000000" w:themeColor="text1"/>
          <w:sz w:val="24"/>
          <w:szCs w:val="20"/>
          <w:highlight w:val="none"/>
          <w14:textFill>
            <w14:solidFill>
              <w14:schemeClr w14:val="tx1"/>
            </w14:solidFill>
          </w14:textFill>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2、我方已知晓招标文件要求并认真审核自身情况，在此郑重声明，我方遵守如下条款的规定：</w:t>
      </w:r>
      <w:r/>
    </w:p>
    <w:p>
      <w:pPr>
        <w:ind w:firstLine="480"/>
        <w:jc w:val="left"/>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pStyle w:val="834"/>
        <w:ind w:firstLine="660"/>
        <w:jc w:val="both"/>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0"/>
          <w:highlight w:val="none"/>
          <w14:textFill>
            <w14:solidFill>
              <w14:schemeClr w14:val="tx1"/>
            </w14:solidFill>
          </w14:textFill>
        </w:rPr>
        <w:t xml:space="preserve">本声明如有虚假或不实之处，我方将失去合格供应商资格。</w:t>
      </w:r>
      <w:r/>
    </w:p>
    <w:p>
      <w:pPr>
        <w:pStyle w:val="834"/>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        （投标方）法定代表人（签字或盖章）：</w:t>
      </w:r>
      <w:r/>
    </w:p>
    <w:p>
      <w:pPr>
        <w:pStyle w:val="834"/>
        <w:ind w:left="1700" w:firstLine="425"/>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34"/>
        <w:ind w:left="1700" w:firstLine="425"/>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投标人：（单位盖章）：</w:t>
      </w:r>
      <w:r/>
    </w:p>
    <w:p>
      <w:pPr>
        <w:pStyle w:val="834"/>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834"/>
        <w:ind w:left="3507" w:firstLine="1145"/>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ab/>
      </w:r>
      <w:r>
        <w:rPr>
          <w:rFonts w:hint="eastAsia" w:ascii="宋体" w:hAnsi="宋体"/>
          <w:color w:val="000000" w:themeColor="text1"/>
          <w:highlight w:val="none"/>
          <w14:textFill>
            <w14:solidFill>
              <w14:schemeClr w14:val="tx1"/>
            </w14:solidFill>
          </w14:textFill>
        </w:rPr>
        <w:t xml:space="preserve">日</w:t>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附件九、投标人基本情况表</w:t>
      </w:r>
      <w:r/>
    </w:p>
    <w:tbl>
      <w:tblPr>
        <w:tblStyle w:val="649"/>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w:t>
            </w:r>
            <w:r/>
          </w:p>
        </w:tc>
        <w:tc>
          <w:tcPr>
            <w:tcW w:w="2268"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18"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成立日期</w:t>
            </w:r>
            <w:r/>
          </w:p>
        </w:tc>
        <w:tc>
          <w:tcPr>
            <w:tcW w:w="2835"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注册地址</w:t>
            </w:r>
            <w:r/>
          </w:p>
        </w:tc>
        <w:tc>
          <w:tcPr>
            <w:tcW w:w="2268"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18"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注册资金</w:t>
            </w:r>
            <w:r/>
          </w:p>
        </w:tc>
        <w:tc>
          <w:tcPr>
            <w:tcW w:w="2835" w:type="dxa"/>
            <w:textDirection w:val="lrTb"/>
            <w:noWrap w:val="false"/>
          </w:tcPr>
          <w:p>
            <w:pPr>
              <w:pStyle w:val="834"/>
              <w:ind w:firstLine="216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经营范围</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Pr>
        <w:tc>
          <w:tcPr>
            <w:tcW w:w="2552" w:type="dxa"/>
            <w:vAlign w:val="center"/>
            <w:textDirection w:val="lrTb"/>
            <w:noWrap w:val="false"/>
          </w:tcPr>
          <w:p>
            <w:pPr>
              <w:pStyle w:val="834"/>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企业资质等级</w:t>
            </w:r>
            <w:r/>
          </w:p>
        </w:tc>
        <w:tc>
          <w:tcPr>
            <w:tcW w:w="2268"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pStyle w:val="834"/>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员工总人数</w:t>
            </w:r>
            <w:r/>
          </w:p>
        </w:tc>
        <w:tc>
          <w:tcPr>
            <w:tcW w:w="2835"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570"/>
        </w:trPr>
        <w:tc>
          <w:tcPr>
            <w:tcW w:w="2552" w:type="dxa"/>
            <w:vAlign w:val="center"/>
            <w:textDirection w:val="lrTb"/>
            <w:noWrap w:val="false"/>
          </w:tcPr>
          <w:p>
            <w:pPr>
              <w:pStyle w:val="834"/>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资产总计</w:t>
            </w:r>
            <w:r/>
          </w:p>
        </w:tc>
        <w:tc>
          <w:tcPr>
            <w:tcW w:w="2268"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万元</w:t>
            </w:r>
            <w:r/>
          </w:p>
        </w:tc>
        <w:tc>
          <w:tcPr>
            <w:tcW w:w="1418" w:type="dxa"/>
            <w:vAlign w:val="center"/>
            <w:textDirection w:val="lrTb"/>
            <w:noWrap w:val="false"/>
          </w:tcPr>
          <w:p>
            <w:pPr>
              <w:pStyle w:val="834"/>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销售收入</w:t>
            </w:r>
            <w:r/>
          </w:p>
        </w:tc>
        <w:tc>
          <w:tcPr>
            <w:tcW w:w="2835"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万元</w:t>
            </w:r>
            <w:r/>
          </w:p>
        </w:tc>
      </w:tr>
      <w:tr>
        <w:trPr>
          <w:cantSplit/>
        </w:trPr>
        <w:tc>
          <w:tcPr>
            <w:tcW w:w="2552" w:type="dxa"/>
            <w:vAlign w:val="center"/>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实现利润</w:t>
            </w:r>
            <w:r/>
          </w:p>
        </w:tc>
        <w:tc>
          <w:tcPr>
            <w:tcW w:w="2268"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年</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万元</w:t>
            </w:r>
            <w:r/>
          </w:p>
        </w:tc>
        <w:tc>
          <w:tcPr>
            <w:tcW w:w="1418"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营业面积（含厂房面积）</w:t>
            </w:r>
            <w:r/>
          </w:p>
        </w:tc>
        <w:tc>
          <w:tcPr>
            <w:tcW w:w="2835" w:type="dxa"/>
            <w:vAlign w:val="bottom"/>
            <w:textDirection w:val="lrTb"/>
            <w:noWrap w:val="false"/>
          </w:tcPr>
          <w:p>
            <w:pPr>
              <w:pStyle w:val="834"/>
              <w:ind w:firstLine="0"/>
              <w:jc w:val="right"/>
              <w:rPr>
                <w:rFonts w:ascii="宋体" w:hAnsi="宋体"/>
                <w:color w:val="000000" w:themeColor="text1"/>
                <w:highlight w:val="none"/>
                <w14:textFill>
                  <w14:solidFill>
                    <w14:schemeClr w14:val="tx1"/>
                  </w14:solidFill>
                </w14:textFill>
              </w:rPr>
            </w:pP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平方米</w:t>
            </w:r>
            <w:r/>
          </w:p>
        </w:tc>
      </w:tr>
      <w:tr>
        <w:trPr>
          <w:cantSplit/>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单位简历及内设机构情况</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单位优势及特长</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1069"/>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是否处于被行政或司法机关责令停业或停止承接工程任务或停止投标资格</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1023"/>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最近</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年内在经营过程中受到何种奖励或处分（包括情况和结果）</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981"/>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最近</w:t>
            </w: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年内有无因售假、售劣或是其他原因被消费者投诉或起诉的情况及说明（包括解决方式和结果）</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1257"/>
        </w:trPr>
        <w:tc>
          <w:tcPr>
            <w:tcW w:w="2552"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最近</w:t>
            </w:r>
            <w:r>
              <w:rPr>
                <w:rFonts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年内主要负责人有无因经济犯罪被司法机关追究的情况及说明</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cantSplit/>
          <w:trHeight w:val="560"/>
        </w:trPr>
        <w:tc>
          <w:tcPr>
            <w:tcW w:w="2552" w:type="dxa"/>
            <w:vAlign w:val="center"/>
            <w:textDirection w:val="lrTb"/>
            <w:noWrap w:val="false"/>
          </w:tcPr>
          <w:p>
            <w:pPr>
              <w:pStyle w:val="834"/>
              <w:ind w:firstLine="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其他需要说明的情况</w:t>
            </w:r>
            <w:r/>
          </w:p>
        </w:tc>
        <w:tc>
          <w:tcPr>
            <w:gridSpan w:val="3"/>
            <w:tcW w:w="6521" w:type="dxa"/>
            <w:textDirection w:val="lrTb"/>
            <w:noWrap w:val="false"/>
          </w:tcPr>
          <w:p>
            <w:pPr>
              <w:pStyle w:val="83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本页不够可另加页附后</w:t>
      </w:r>
      <w:r>
        <w:rPr>
          <w:rFonts w:hint="eastAsia" w:ascii="宋体" w:hAnsi="宋体"/>
          <w:color w:val="000000" w:themeColor="text1"/>
          <w:sz w:val="24"/>
          <w:highlight w:val="none"/>
          <w14:textFill>
            <w14:solidFill>
              <w14:schemeClr w14:val="tx1"/>
            </w14:solidFill>
          </w14:textFill>
        </w:rPr>
        <w:t xml:space="preserve">）</w:t>
      </w:r>
      <w:r/>
    </w:p>
    <w:p>
      <w:pPr>
        <w:ind w:firstLine="420"/>
        <w:jc w:val="left"/>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jc w:val="lef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投标人名称：        （盖章）</w:t>
      </w:r>
      <w:r/>
    </w:p>
    <w:p>
      <w:pPr>
        <w:ind w:firstLine="420"/>
        <w:jc w:val="lef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rPr>
          <w:rFonts w:hint="eastAsia" w:ascii="宋体" w:hAnsi="宋体"/>
          <w:bCs/>
          <w:color w:val="000000" w:themeColor="text1"/>
          <w:sz w:val="24"/>
          <w:highlight w:val="none"/>
          <w14:textFill>
            <w14:solidFill>
              <w14:schemeClr w14:val="tx1"/>
            </w14:solidFill>
          </w14:textFill>
        </w:rPr>
        <w:t xml:space="preserve">：</w:t>
      </w:r>
      <w:r/>
    </w:p>
    <w:p>
      <w:pPr>
        <w:ind w:firstLine="420"/>
        <w:jc w:val="left"/>
        <w:spacing w:line="4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投标日期</w:t>
      </w:r>
      <w:r>
        <w:rPr>
          <w:rFonts w:ascii="宋体" w:hAnsi="宋体"/>
          <w:bCs/>
          <w:color w:val="000000" w:themeColor="text1"/>
          <w:sz w:val="24"/>
          <w:highlight w:val="none"/>
          <w14:textFill>
            <w14:solidFill>
              <w14:schemeClr w14:val="tx1"/>
            </w14:solidFill>
          </w14:textFill>
        </w:rPr>
        <w:t xml:space="preserve">:</w:t>
      </w:r>
      <w:r/>
    </w:p>
    <w:p>
      <w:pPr>
        <w:pStyle w:val="834"/>
        <w:ind w:firstLine="0"/>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附件十、技术规格、商务偏离表</w:t>
      </w:r>
      <w:r/>
    </w:p>
    <w:p>
      <w:pPr>
        <w:ind w:firstLine="2528"/>
        <w:spacing w:line="360" w:lineRule="auto"/>
        <w:rPr>
          <w:rFonts w:ascii="宋体" w:hAnsi="宋体"/>
          <w:b/>
          <w:color w:val="000000" w:themeColor="text1"/>
          <w:spacing w:val="20"/>
          <w:sz w:val="24"/>
          <w:highlight w:val="none"/>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 xml:space="preserve">（一）技术规格偏离表</w:t>
      </w:r>
      <w:r/>
    </w:p>
    <w:p>
      <w:pPr>
        <w:spacing w:line="38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招标编号</w:t>
      </w:r>
      <w:r>
        <w:rPr>
          <w:rFonts w:hint="eastAsia" w:ascii="宋体" w:hAnsi="宋体" w:cs="宋体"/>
          <w:color w:val="000000" w:themeColor="text1"/>
          <w:sz w:val="24"/>
          <w:highlight w:val="none"/>
          <w:lang w:val="zh-CN"/>
          <w14:textFill>
            <w14:solidFill>
              <w14:schemeClr w14:val="tx1"/>
            </w14:solidFill>
          </w14:textFill>
        </w:rPr>
        <w:t xml:space="preserve">∶                     </w:t>
      </w:r>
      <w:r/>
    </w:p>
    <w:tbl>
      <w:tblPr>
        <w:tblStyle w:val="649"/>
        <w:tblW w:w="10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2052"/>
      </w:tblGrid>
      <w:tr>
        <w:trPr>
          <w:jc w:val="center"/>
        </w:trPr>
        <w:tc>
          <w:tcPr>
            <w:tcW w:w="958" w:type="dxa"/>
            <w:vAlign w:val="center"/>
            <w:textDirection w:val="lrTb"/>
            <w:noWrap w:val="false"/>
          </w:tcPr>
          <w:p>
            <w:pPr>
              <w:jc w:val="center"/>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序号</w:t>
            </w:r>
            <w:r/>
          </w:p>
        </w:tc>
        <w:tc>
          <w:tcPr>
            <w:tcW w:w="1683" w:type="dxa"/>
            <w:vAlign w:val="center"/>
            <w:textDirection w:val="lrTb"/>
            <w:noWrap w:val="false"/>
          </w:tcPr>
          <w:p>
            <w:pPr>
              <w:pStyle w:val="834"/>
              <w:ind w:left="54" w:firstLine="0"/>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项      目</w:t>
            </w:r>
            <w:r/>
          </w:p>
        </w:tc>
        <w:tc>
          <w:tcPr>
            <w:tcW w:w="2051" w:type="dxa"/>
            <w:vAlign w:val="center"/>
            <w:textDirection w:val="lrTb"/>
            <w:noWrap w:val="false"/>
          </w:tcPr>
          <w:p>
            <w:pPr>
              <w:pStyle w:val="834"/>
              <w:ind w:firstLine="0"/>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招标要求</w:t>
            </w:r>
            <w:r/>
          </w:p>
        </w:tc>
        <w:tc>
          <w:tcPr>
            <w:tcW w:w="2052" w:type="dxa"/>
            <w:vAlign w:val="center"/>
            <w:textDirection w:val="lrTb"/>
            <w:noWrap w:val="false"/>
          </w:tcPr>
          <w:p>
            <w:pPr>
              <w:pStyle w:val="834"/>
              <w:ind w:firstLine="0"/>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投标</w:t>
            </w:r>
            <w:r>
              <w:rPr>
                <w:rFonts w:hint="eastAsia" w:ascii="宋体" w:hAnsi="宋体"/>
                <w:b/>
                <w:color w:val="000000" w:themeColor="text1"/>
                <w:highlight w:val="none"/>
                <w14:textFill>
                  <w14:solidFill>
                    <w14:schemeClr w14:val="tx1"/>
                  </w14:solidFill>
                </w14:textFill>
              </w:rPr>
              <w:t xml:space="preserve">响应</w:t>
            </w:r>
            <w:r/>
          </w:p>
        </w:tc>
        <w:tc>
          <w:tcPr>
            <w:tcW w:w="2052" w:type="dxa"/>
            <w:vAlign w:val="center"/>
            <w:textDirection w:val="lrTb"/>
            <w:noWrap w:val="false"/>
          </w:tcPr>
          <w:p>
            <w:pPr>
              <w:pStyle w:val="834"/>
              <w:ind w:firstLine="0"/>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偏离说明</w:t>
            </w:r>
            <w:r/>
          </w:p>
        </w:tc>
        <w:tc>
          <w:tcPr>
            <w:tcW w:w="2052" w:type="dxa"/>
            <w:vAlign w:val="center"/>
            <w:textDirection w:val="lrTb"/>
            <w:noWrap w:val="false"/>
          </w:tcPr>
          <w:p>
            <w:pPr>
              <w:pStyle w:val="834"/>
              <w:ind w:firstLine="0"/>
              <w:jc w:val="cente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证明材料</w:t>
            </w:r>
            <w:r/>
          </w:p>
        </w:tc>
      </w:tr>
      <w:tr>
        <w:trPr>
          <w:jc w:val="center"/>
        </w:trPr>
        <w:tc>
          <w:tcPr>
            <w:tcW w:w="958"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Pr>
        <w:tc>
          <w:tcPr>
            <w:tcW w:w="958" w:type="dxa"/>
            <w:vAlign w:val="center"/>
            <w:textDirection w:val="lrTb"/>
            <w:noWrap w:val="false"/>
          </w:tcPr>
          <w:p>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Pr>
        <w:tc>
          <w:tcPr>
            <w:tcW w:w="958" w:type="dxa"/>
            <w:textDirection w:val="lrTb"/>
            <w:noWrap w:val="false"/>
          </w:tcPr>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683"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1"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52" w:type="dxa"/>
            <w:textDirection w:val="lrTb"/>
            <w:noWrap w:val="false"/>
          </w:tcPr>
          <w:p>
            <w:pPr>
              <w:pStyle w:val="834"/>
              <w:ind w:firstLine="799"/>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         （盖章）</w:t>
      </w:r>
      <w:r/>
    </w:p>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法定代表人或授代理人（签字或盖章）</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投标日期</w:t>
      </w:r>
      <w:r>
        <w:rPr>
          <w:rFonts w:ascii="宋体" w:hAnsi="宋体"/>
          <w:bCs/>
          <w:color w:val="000000" w:themeColor="text1"/>
          <w:sz w:val="24"/>
          <w:highlight w:val="none"/>
          <w14:textFill>
            <w14:solidFill>
              <w14:schemeClr w14:val="tx1"/>
            </w14:solidFill>
          </w14:textFill>
        </w:rPr>
        <w:t xml:space="preserve">:</w:t>
      </w:r>
      <w:r/>
    </w:p>
    <w:p>
      <w:pPr>
        <w:ind w:firstLine="2528"/>
        <w:spacing w:line="360" w:lineRule="auto"/>
        <w:rPr>
          <w:rFonts w:ascii="宋体" w:hAnsi="宋体"/>
          <w:color w:val="000000" w:themeColor="text1"/>
          <w:sz w:val="24"/>
          <w:highlight w:val="none"/>
          <w:lang w:val="zh-CN"/>
          <w14:textFill>
            <w14:solidFill>
              <w14:schemeClr w14:val="tx1"/>
            </w14:solidFill>
          </w14:textFill>
        </w:rPr>
      </w:pPr>
      <w:r>
        <w:rPr>
          <w:rFonts w:hint="eastAsia" w:ascii="宋体" w:hAnsi="宋体"/>
          <w:b/>
          <w:color w:val="000000" w:themeColor="text1"/>
          <w:spacing w:val="20"/>
          <w:sz w:val="24"/>
          <w:highlight w:val="none"/>
          <w14:textFill>
            <w14:solidFill>
              <w14:schemeClr w14:val="tx1"/>
            </w14:solidFill>
          </w14:textFill>
        </w:rPr>
        <w:t xml:space="preserve">（二）商务条款偏离表</w:t>
      </w:r>
      <w:r>
        <w:rPr>
          <w:rFonts w:hint="eastAsia" w:ascii="宋体" w:hAnsi="宋体"/>
          <w:color w:val="000000" w:themeColor="text1"/>
          <w:sz w:val="24"/>
          <w:highlight w:val="none"/>
          <w:lang w:val="zh-CN"/>
          <w14:textFill>
            <w14:solidFill>
              <w14:schemeClr w14:val="tx1"/>
            </w14:solidFill>
          </w14:textFill>
        </w:rPr>
        <w:t xml:space="preserve">                                            </w:t>
      </w:r>
      <w:r/>
    </w:p>
    <w:p>
      <w:pPr>
        <w:spacing w:line="38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招标编号</w:t>
      </w:r>
      <w:r>
        <w:rPr>
          <w:rFonts w:hint="eastAsia" w:ascii="宋体" w:hAnsi="宋体" w:cs="宋体"/>
          <w:color w:val="000000" w:themeColor="text1"/>
          <w:sz w:val="24"/>
          <w:highlight w:val="none"/>
          <w:lang w:val="zh-CN"/>
          <w14:textFill>
            <w14:solidFill>
              <w14:schemeClr w14:val="tx1"/>
            </w14:solidFill>
          </w14:textFill>
        </w:rPr>
        <w:t xml:space="preserve">∶             </w:t>
      </w:r>
      <w:r/>
    </w:p>
    <w:tbl>
      <w:tblPr>
        <w:tblStyle w:val="6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323"/>
          <w:tblHeader/>
        </w:trPr>
        <w:tc>
          <w:tcPr>
            <w:tcW w:w="730" w:type="dxa"/>
            <w:vAlign w:val="center"/>
            <w:textDirection w:val="lrTb"/>
            <w:noWrap w:val="false"/>
          </w:tcPr>
          <w:p>
            <w:pPr>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序号</w:t>
            </w:r>
            <w:r/>
          </w:p>
        </w:tc>
        <w:tc>
          <w:tcPr>
            <w:tcW w:w="2948" w:type="dxa"/>
            <w:vAlign w:val="center"/>
            <w:textDirection w:val="lrTb"/>
            <w:noWrap w:val="false"/>
          </w:tcPr>
          <w:p>
            <w:pPr>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招标文件要求</w:t>
            </w:r>
            <w:r/>
          </w:p>
        </w:tc>
        <w:tc>
          <w:tcPr>
            <w:tcW w:w="1959" w:type="dxa"/>
            <w:vAlign w:val="center"/>
            <w:textDirection w:val="lrTb"/>
            <w:noWrap w:val="false"/>
          </w:tcPr>
          <w:p>
            <w:pPr>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投标响应</w:t>
            </w:r>
            <w:r/>
          </w:p>
        </w:tc>
        <w:tc>
          <w:tcPr>
            <w:tcW w:w="1842" w:type="dxa"/>
            <w:vAlign w:val="center"/>
            <w:textDirection w:val="lrTb"/>
            <w:noWrap w:val="false"/>
          </w:tcPr>
          <w:p>
            <w:pPr>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c>
          <w:tcPr>
            <w:tcW w:w="1578" w:type="dxa"/>
            <w:vAlign w:val="center"/>
            <w:textDirection w:val="lrTb"/>
            <w:noWrap w:val="false"/>
          </w:tcPr>
          <w:p>
            <w:pPr>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备注</w:t>
            </w:r>
            <w:r/>
          </w:p>
        </w:tc>
      </w:tr>
      <w:tr>
        <w:trPr>
          <w:cantSplit/>
          <w:trHeight w:val="533" w:hRule="exact"/>
        </w:trPr>
        <w:tc>
          <w:tcPr>
            <w:tcW w:w="730" w:type="dxa"/>
            <w:vAlign w:val="center"/>
            <w:textDirection w:val="lrTb"/>
            <w:noWrap w:val="false"/>
          </w:tcPr>
          <w:p>
            <w:pPr>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2948" w:type="dxa"/>
            <w:textDirection w:val="lrTb"/>
            <w:noWrap w:val="false"/>
          </w:tcPr>
          <w:p>
            <w:pPr>
              <w:rPr>
                <w:rFonts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 xml:space="preserve">交货期限</w:t>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533" w:hRule="exact"/>
        </w:trPr>
        <w:tc>
          <w:tcPr>
            <w:tcW w:w="730" w:type="dxa"/>
            <w:vAlign w:val="center"/>
            <w:textDirection w:val="lrTb"/>
            <w:noWrap w:val="false"/>
          </w:tcPr>
          <w:p>
            <w:pPr>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2948" w:type="dxa"/>
            <w:textDirection w:val="lrTb"/>
            <w:noWrap w:val="false"/>
          </w:tcPr>
          <w:p>
            <w:pPr>
              <w:rPr>
                <w:rFonts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 xml:space="preserve">交货地点</w:t>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533" w:hRule="exact"/>
        </w:trPr>
        <w:tc>
          <w:tcPr>
            <w:tcW w:w="730" w:type="dxa"/>
            <w:vAlign w:val="center"/>
            <w:textDirection w:val="lrTb"/>
            <w:noWrap w:val="false"/>
          </w:tcPr>
          <w:p>
            <w:pPr>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2948" w:type="dxa"/>
            <w:textDirection w:val="lrTb"/>
            <w:noWrap w:val="false"/>
          </w:tcPr>
          <w:p>
            <w:pPr>
              <w:rPr>
                <w:rFonts w:ascii="宋体" w:hAnsi="宋体" w:cs="仿宋_GB2312"/>
                <w:color w:val="000000" w:themeColor="text1"/>
                <w:sz w:val="24"/>
                <w:highlight w:val="none"/>
                <w:lang w:val="zh-CN"/>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 xml:space="preserve">付款方式</w:t>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533" w:hRule="exact"/>
        </w:trPr>
        <w:tc>
          <w:tcPr>
            <w:tcW w:w="730" w:type="dxa"/>
            <w:vAlign w:val="center"/>
            <w:textDirection w:val="lrTb"/>
            <w:noWrap w:val="false"/>
          </w:tcPr>
          <w:p>
            <w:pPr>
              <w:jc w:val="cente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2948" w:type="dxa"/>
            <w:textDirection w:val="lrTb"/>
            <w:noWrap w:val="false"/>
          </w:tcPr>
          <w:p>
            <w:pPr>
              <w:rPr>
                <w:rFonts w:ascii="宋体" w:hAnsi="宋体"/>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 xml:space="preserve">售后服务承诺</w:t>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533" w:hRule="exact"/>
        </w:trPr>
        <w:tc>
          <w:tcPr>
            <w:tcW w:w="730" w:type="dxa"/>
            <w:textDirection w:val="lrTb"/>
            <w:noWrap w:val="false"/>
          </w:tcPr>
          <w:p>
            <w:pPr>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tc>
        <w:tc>
          <w:tcPr>
            <w:tcW w:w="2948" w:type="dxa"/>
            <w:textDirection w:val="lrTb"/>
            <w:noWrap w:val="false"/>
          </w:tcPr>
          <w:p>
            <w:pPr>
              <w:rPr>
                <w:rFonts w:ascii="宋体" w:hAnsi="宋体"/>
                <w:bCs/>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lang w:val="zh-CN"/>
                <w14:textFill>
                  <w14:solidFill>
                    <w14:schemeClr w14:val="tx1"/>
                  </w14:solidFill>
                </w14:textFill>
              </w:rPr>
              <w:t xml:space="preserve">其他商务要求</w:t>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533" w:hRule="exact"/>
        </w:trPr>
        <w:tc>
          <w:tcPr>
            <w:tcW w:w="730" w:type="dxa"/>
            <w:textDirection w:val="lrTb"/>
            <w:noWrap w:val="false"/>
          </w:tcPr>
          <w:p>
            <w:pPr>
              <w:jc w:val="center"/>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tc>
        <w:tc>
          <w:tcPr>
            <w:tcW w:w="2948" w:type="dxa"/>
            <w:textDirection w:val="lrTb"/>
            <w:noWrap w:val="false"/>
          </w:tcPr>
          <w:p>
            <w:pPr>
              <w:rPr>
                <w:rFonts w:ascii="宋体" w:hAnsi="宋体" w:cs="仿宋_GB2312"/>
                <w:color w:val="000000" w:themeColor="text1"/>
                <w:sz w:val="24"/>
                <w:highlight w:val="none"/>
                <w:lang w:val="zh-CN"/>
                <w14:textFill>
                  <w14:solidFill>
                    <w14:schemeClr w14:val="tx1"/>
                  </w14:solidFill>
                </w14:textFill>
              </w:rPr>
            </w:pPr>
            <w:r>
              <w:rPr>
                <w:rFonts w:ascii="宋体" w:hAnsi="宋体" w:cs="仿宋_GB2312"/>
                <w:color w:val="000000" w:themeColor="text1"/>
                <w:sz w:val="24"/>
                <w:highlight w:val="none"/>
                <w:lang w:val="zh-CN"/>
                <w14:textFill>
                  <w14:solidFill>
                    <w14:schemeClr w14:val="tx1"/>
                  </w14:solidFill>
                </w14:textFill>
              </w:rPr>
            </w:r>
            <w:r/>
          </w:p>
        </w:tc>
        <w:tc>
          <w:tcPr>
            <w:tcW w:w="1959"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42"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578" w:type="dxa"/>
            <w:textDirection w:val="lrTb"/>
            <w:noWrap w:val="false"/>
          </w:tcPr>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         （盖章）</w:t>
      </w:r>
      <w:r/>
    </w:p>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投标日期</w:t>
      </w:r>
      <w:r>
        <w:rPr>
          <w:rFonts w:ascii="宋体" w:hAnsi="宋体"/>
          <w:bCs/>
          <w:color w:val="000000" w:themeColor="text1"/>
          <w:sz w:val="24"/>
          <w:highlight w:val="none"/>
          <w14:textFill>
            <w14:solidFill>
              <w14:schemeClr w14:val="tx1"/>
            </w14:solidFill>
          </w14:textFill>
        </w:rPr>
        <w:t xml:space="preserve">:</w:t>
      </w:r>
      <w:r/>
    </w:p>
    <w:p>
      <w:pPr>
        <w:spacing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注：</w:t>
      </w:r>
      <w:r>
        <w:rPr>
          <w:rFonts w:hint="eastAsia" w:ascii="宋体" w:hAnsi="宋体"/>
          <w:color w:val="000000" w:themeColor="text1"/>
          <w:sz w:val="24"/>
          <w:highlight w:val="none"/>
          <w14:textFill>
            <w14:solidFill>
              <w14:schemeClr w14:val="tx1"/>
            </w14:solidFill>
          </w14:textFill>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spacing w:line="38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2.若事项较多，投标人可根据投标内容的实际情况另纸说明。</w:t>
      </w:r>
      <w:r/>
    </w:p>
    <w:p>
      <w:pPr>
        <w:jc w:val="left"/>
        <w:rPr>
          <w:rFonts w:ascii="宋体" w:hAnsi="宋体"/>
          <w:b/>
          <w:color w:val="000000" w:themeColor="text1"/>
          <w:sz w:val="30"/>
          <w:szCs w:val="30"/>
          <w:highlight w:val="none"/>
          <w14:textFill>
            <w14:solidFill>
              <w14:schemeClr w14:val="tx1"/>
            </w14:solidFill>
          </w14:textFill>
        </w:rPr>
        <w:outlineLvl w:val="0"/>
      </w:pPr>
      <w:r>
        <w:rPr>
          <w:rFonts w:ascii="宋体" w:hAnsi="宋体"/>
          <w:b/>
          <w:color w:val="000000" w:themeColor="text1"/>
          <w:sz w:val="30"/>
          <w:szCs w:val="30"/>
          <w:highlight w:val="none"/>
          <w14:textFill>
            <w14:solidFill>
              <w14:schemeClr w14:val="tx1"/>
            </w14:solidFill>
          </w14:textFill>
        </w:rPr>
      </w:r>
      <w:r/>
    </w:p>
    <w:p>
      <w:pPr>
        <w:jc w:val="left"/>
        <w:rPr>
          <w:rFonts w:ascii="宋体" w:hAnsi="宋体"/>
          <w:b/>
          <w:color w:val="000000" w:themeColor="text1"/>
          <w:szCs w:val="21"/>
          <w:highlight w:val="none"/>
          <w14:textFill>
            <w14:solidFill>
              <w14:schemeClr w14:val="tx1"/>
            </w14:solidFill>
          </w14:textFill>
        </w:rPr>
        <w:outlineLvl w:val="0"/>
      </w:pPr>
      <w:r>
        <w:rPr>
          <w:rFonts w:hint="eastAsia" w:ascii="宋体" w:hAnsi="宋体"/>
          <w:b/>
          <w:color w:val="000000" w:themeColor="text1"/>
          <w:sz w:val="30"/>
          <w:szCs w:val="30"/>
          <w:highlight w:val="none"/>
          <w14:textFill>
            <w14:solidFill>
              <w14:schemeClr w14:val="tx1"/>
            </w14:solidFill>
          </w14:textFill>
        </w:rPr>
        <w:t xml:space="preserve">附件十一、</w:t>
      </w:r>
      <w:r>
        <w:rPr>
          <w:rFonts w:hint="eastAsia" w:ascii="宋体" w:hAnsi="宋体"/>
          <w:b/>
          <w:color w:val="000000" w:themeColor="text1"/>
          <w:szCs w:val="21"/>
          <w:highlight w:val="none"/>
          <w14:textFill>
            <w14:solidFill>
              <w14:schemeClr w14:val="tx1"/>
            </w14:solidFill>
          </w14:textFill>
        </w:rPr>
        <w:t xml:space="preserve">投标货物和服务数量、品牌规格、性能、交货期说明表</w:t>
      </w:r>
      <w:r/>
    </w:p>
    <w:tbl>
      <w:tblPr>
        <w:tblStyle w:val="649"/>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lef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14:textFill>
            <w14:solidFill>
              <w14:schemeClr w14:val="tx1"/>
            </w14:solidFill>
          </w14:textFill>
        </w:rPr>
        <w:t xml:space="preserve">年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left"/>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附件十二、售后服务承诺书</w:t>
      </w:r>
      <w:r/>
    </w:p>
    <w:p>
      <w:pPr>
        <w:pStyle w:val="862"/>
        <w:jc w:val="both"/>
        <w:spacing w:line="360" w:lineRule="auto"/>
        <w:rPr>
          <w:b/>
          <w:bCs/>
          <w:color w:val="000000" w:themeColor="text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 xml:space="preserve"> </w:t>
      </w:r>
      <w:r>
        <w:rPr>
          <w:rFonts w:hint="eastAsia"/>
          <w:b/>
          <w:bCs/>
          <w:color w:val="000000" w:themeColor="text1"/>
          <w:sz w:val="21"/>
          <w:szCs w:val="21"/>
          <w:highlight w:val="none"/>
          <w14:textFill>
            <w14:solidFill>
              <w14:schemeClr w14:val="tx1"/>
            </w14:solidFill>
          </w14:textFill>
        </w:rPr>
        <w:t xml:space="preserve">                                    </w:t>
      </w:r>
      <w:r>
        <w:rPr>
          <w:rFonts w:hAnsi="宋体"/>
          <w:b/>
          <w:bCs/>
          <w:color w:val="000000" w:themeColor="text1"/>
          <w:highlight w:val="none"/>
          <w14:textFill>
            <w14:solidFill>
              <w14:schemeClr w14:val="tx1"/>
            </w14:solidFill>
          </w14:textFill>
        </w:rPr>
        <w:t xml:space="preserve">售后服务承诺书</w:t>
      </w:r>
      <w:r/>
    </w:p>
    <w:p>
      <w:pPr>
        <w:pStyle w:val="863"/>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招标编号：</w:t>
      </w:r>
      <w:r/>
    </w:p>
    <w:tbl>
      <w:tblPr>
        <w:tblStyle w:val="649"/>
        <w:tblW w:w="0" w:type="auto"/>
        <w:tblInd w:w="180" w:type="dxa"/>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售后服务内容</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期限（时间）</w:t>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备注</w:t>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免费质保期</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服务响应</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到达现场</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解决问题</w:t>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862"/>
              <w:jc w:val="center"/>
              <w:spacing w:before="25" w:after="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862"/>
        <w:ind w:firstLine="420"/>
        <w:spacing w:before="25" w:after="25"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注：1、针对服务内容有必须说明的事项，请在“备注”栏目内注明；</w:t>
      </w:r>
      <w:r/>
    </w:p>
    <w:p>
      <w:pPr>
        <w:pStyle w:val="862"/>
        <w:ind w:firstLine="840"/>
        <w:spacing w:before="25" w:after="25"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2、如有其它售后服务内容，可自行参照填写。</w:t>
      </w:r>
      <w:r/>
    </w:p>
    <w:p>
      <w:pPr>
        <w:pStyle w:val="862"/>
        <w:ind w:firstLine="420"/>
        <w:spacing w:before="25" w:after="25"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pStyle w:val="862"/>
        <w:ind w:firstLine="21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投标人（公章）：</w:t>
      </w:r>
      <w:r/>
    </w:p>
    <w:p>
      <w:pPr>
        <w:pStyle w:val="862"/>
        <w:ind w:firstLine="21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法定代表人或授权委托人：（签字或签章）</w:t>
      </w:r>
      <w:r/>
    </w:p>
    <w:p>
      <w:pPr>
        <w:pStyle w:val="862"/>
        <w:ind w:firstLine="210"/>
        <w:jc w:val="both"/>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        年     月     日</w:t>
      </w:r>
      <w:r/>
    </w:p>
    <w:p>
      <w:pPr>
        <w:spacing w:line="38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spacing w:line="360" w:lineRule="auto"/>
        <w:rPr>
          <w:rFonts w:ascii="宋体" w:hAnsi="宋体"/>
          <w:b/>
          <w:bCs/>
          <w:color w:val="000000" w:themeColor="text1"/>
          <w:sz w:val="32"/>
          <w:szCs w:val="28"/>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附件十三、中小企业声明函</w:t>
      </w:r>
      <w:r/>
    </w:p>
    <w:p>
      <w:pP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highlight w:val="none"/>
          <w:u w:val="single"/>
          <w14:textFill>
            <w14:solidFill>
              <w14:schemeClr w14:val="tx1"/>
            </w14:solidFill>
          </w14:textFill>
        </w:rPr>
        <w:t xml:space="preserve">（单位名称）</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采购活动，提供货物全部由符合政策要求的中小企业制造。相关企业（含联合体中的中小企业、签订分包意向协议的中小企业）的具体情况如下：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rPr>
          <w:rFonts w:hint="eastAsia" w:ascii="宋体" w:hAnsi="宋体" w:cs="宋体"/>
          <w:color w:val="000000" w:themeColor="text1"/>
          <w:sz w:val="24"/>
          <w:highlight w:val="none"/>
          <w:u w:val="single"/>
          <w14:textFill>
            <w14:solidFill>
              <w14:schemeClr w14:val="tx1"/>
            </w14:solidFill>
          </w14:textFill>
        </w:rPr>
        <w:t xml:space="preserve"> （标的物名称）  </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工业</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；制造商为</w:t>
      </w:r>
      <w:r>
        <w:rPr>
          <w:rFonts w:hint="eastAsia" w:ascii="宋体" w:hAnsi="宋体" w:cs="宋体"/>
          <w:color w:val="000000" w:themeColor="text1"/>
          <w:sz w:val="24"/>
          <w:highlight w:val="none"/>
          <w:u w:val="single"/>
          <w14:textFill>
            <w14:solidFill>
              <w14:schemeClr w14:val="tx1"/>
            </w14:solidFill>
          </w14:textFill>
        </w:rPr>
        <w:t xml:space="preserve">  （企业名称）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w:t>
      </w:r>
      <w:r>
        <w:rPr>
          <w:rFonts w:hint="eastAsia" w:ascii="宋体" w:hAnsi="宋体" w:cs="宋体"/>
          <w:color w:val="000000" w:themeColor="text1"/>
          <w:sz w:val="24"/>
          <w:highlight w:val="none"/>
          <w:u w:val="single"/>
          <w14:textFill>
            <w14:solidFill>
              <w14:schemeClr w14:val="tx1"/>
            </w14:solidFill>
          </w14:textFill>
        </w:rPr>
        <w:t xml:space="preserve">（标的物名称）</w:t>
      </w:r>
      <w:r>
        <w:rPr>
          <w:rFonts w:hint="eastAsia" w:ascii="宋体" w:hAnsi="宋体" w:cs="宋体"/>
          <w:color w:val="000000" w:themeColor="text1"/>
          <w:sz w:val="24"/>
          <w:highlight w:val="none"/>
          <w14:textFill>
            <w14:solidFill>
              <w14:schemeClr w14:val="tx1"/>
            </w14:solidFill>
          </w14:textFill>
        </w:rPr>
        <w:t xml:space="preserve"> ，属于</w:t>
      </w:r>
      <w:r>
        <w:rPr>
          <w:rFonts w:hint="eastAsia" w:ascii="宋体" w:hAnsi="宋体" w:cs="宋体"/>
          <w:b/>
          <w:bCs/>
          <w:color w:val="000000" w:themeColor="text1"/>
          <w:sz w:val="24"/>
          <w:highlight w:val="none"/>
          <w:u w:val="single"/>
          <w14:textFill>
            <w14:solidFill>
              <w14:schemeClr w14:val="tx1"/>
            </w14:solidFill>
          </w14:textFill>
        </w:rPr>
        <w:t xml:space="preserve">工业</w:t>
      </w:r>
      <w:r>
        <w:rPr>
          <w:rFonts w:hint="eastAsia" w:ascii="宋体" w:hAnsi="宋体" w:cs="宋体"/>
          <w:color w:val="000000" w:themeColor="text1"/>
          <w:sz w:val="24"/>
          <w:highlight w:val="none"/>
          <w14:textFill>
            <w14:solidFill>
              <w14:schemeClr w14:val="tx1"/>
            </w14:solidFill>
          </w14:textFill>
        </w:rPr>
        <w:t xml:space="preserve">；制造商为</w:t>
      </w:r>
      <w:r>
        <w:rPr>
          <w:rFonts w:hint="eastAsia" w:ascii="宋体" w:hAnsi="宋体" w:cs="宋体"/>
          <w:color w:val="000000" w:themeColor="text1"/>
          <w:sz w:val="24"/>
          <w:highlight w:val="none"/>
          <w:u w:val="single"/>
          <w14:textFill>
            <w14:solidFill>
              <w14:schemeClr w14:val="tx1"/>
            </w14:solidFill>
          </w14:textFill>
        </w:rPr>
        <w:t xml:space="preserve">  （企业名称）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企业名称（盖章）：</w:t>
      </w:r>
      <w:r/>
    </w:p>
    <w:p>
      <w:pPr>
        <w:ind w:firstLine="6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p>
    <w:p>
      <w:pPr>
        <w:numPr>
          <w:ilvl w:val="0"/>
          <w:numId w:val="4"/>
        </w:num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中小企业划分标准详见“工信部联企业〔2011〕300号通知中的《中小企业划型标准规定》”。</w:t>
      </w:r>
      <w:r/>
    </w:p>
    <w:p>
      <w:pPr>
        <w:numPr>
          <w:ilvl w:val="0"/>
          <w:numId w:val="4"/>
        </w:num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14:textFill>
            <w14:solidFill>
              <w14:schemeClr w14:val="tx1"/>
            </w14:solidFill>
          </w14:textFill>
        </w:rPr>
        <w:t xml:space="preserve">如供应商认定本企业为小型或微型企业，则需根据“工信部联企业〔2011〕300号”通知中的《中小企业划型标准规定》填报“中小企业声明函”</w:t>
      </w:r>
      <w:r>
        <w:rPr>
          <w:rFonts w:hint="eastAsia" w:ascii="宋体" w:hAnsi="宋体" w:cs="宋体"/>
          <w:b/>
          <w:color w:val="000000" w:themeColor="text1"/>
          <w:sz w:val="24"/>
          <w:highlight w:val="none"/>
          <w14:textFill>
            <w14:solidFill>
              <w14:schemeClr w14:val="tx1"/>
            </w14:solidFill>
          </w14:textFill>
        </w:rPr>
        <w:t xml:space="preserve">。</w:t>
      </w:r>
      <w:r/>
    </w:p>
    <w:p>
      <w:pPr>
        <w:numPr>
          <w:ilvl w:val="0"/>
          <w:numId w:val="4"/>
        </w:num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4、投标单位所投不同货物的生产制造商信息均需填报。</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5、供应商应对照中小企业划分标准和采购标的所属行业：</w:t>
      </w:r>
      <w:r>
        <w:rPr>
          <w:rFonts w:hint="eastAsia" w:ascii="宋体" w:hAnsi="宋体" w:cs="宋体"/>
          <w:b/>
          <w:color w:val="000000" w:themeColor="text1"/>
          <w:sz w:val="24"/>
          <w:highlight w:val="none"/>
          <w:u w:val="single"/>
          <w14:textFill>
            <w14:solidFill>
              <w14:schemeClr w14:val="tx1"/>
            </w14:solidFill>
          </w14:textFill>
        </w:rPr>
        <w:t xml:space="preserve">工业 </w:t>
      </w:r>
      <w:r>
        <w:rPr>
          <w:rFonts w:hint="eastAsia" w:ascii="宋体" w:hAnsi="宋体" w:cs="宋体"/>
          <w:b/>
          <w:color w:val="000000" w:themeColor="text1"/>
          <w:sz w:val="24"/>
          <w:highlight w:val="none"/>
          <w14:textFill>
            <w14:solidFill>
              <w14:schemeClr w14:val="tx1"/>
            </w14:solidFill>
          </w14:textFill>
        </w:rPr>
        <w:t xml:space="preserve">，如实、完整填报《中小企业声明函》，如未对（中型企业、小型企业、微型企业）进行勾选，视同非中、小、微企业，不享受相应扶持政策。</w:t>
      </w:r>
      <w:bookmarkStart w:id="41" w:name="OLE_LINK14"/>
      <w:r/>
      <w:bookmarkStart w:id="42" w:name="OLE_LINK13"/>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w:t>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中小企业划型标准规定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一、根据《中华人民共和国中小企业促进法》和《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"http://www.shui5.cn/article/47/26142.html"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国务院关于进一步促进中小企业发展的若干意见</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"http://www.shui5.cn/article/47/26142.html"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国发〔2009〕36号</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)，制定本规定。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二、中小企业划分为中型、小型、微型三种类型，具体标准根据企业从业人员、营业收入、资产总额等指标，结合行业特点制定。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四、各行业划型标准为：</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五、企业类型的划分以统计部门的统计数据为依据。</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六、本规定适用于在中华人民共和国境内依法设立的各类所有制和各种组织形式的企业。个体工商户和本规定以外的行业，参照本规定进行划型。</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八、本规定由工业和信息化部、国家统计局会同有关部门根据《国民经济行业分类》修订情况和企业发展变化情况适时修订。</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九、本规定由工业和信息化部、国家统计局会同有关部门负责解释。</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十、本规定自发布之日起执行，原国家经贸委、原国家计委、财政部和国家统计局2003年颁布的《</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"http://www.shui5.cn/article/df/24263.html"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中小企业标准暂行规定</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"http://www.shui5.cn/article/df/24263.html"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国经贸中小企[2003]143号</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同时废止。</w:t>
      </w:r>
      <w:r/>
    </w:p>
    <w:p>
      <w:pPr>
        <w:pStyle w:val="8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30"/>
          <w:szCs w:val="30"/>
          <w:highlight w:val="none"/>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themeColor="text1"/>
          <w:sz w:val="30"/>
          <w:szCs w:val="30"/>
          <w:highlight w:val="none"/>
          <w14:textFill>
            <w14:solidFill>
              <w14:schemeClr w14:val="tx1"/>
            </w14:solidFill>
          </w14:textFill>
        </w:rPr>
      </w:r>
      <w:r/>
    </w:p>
    <w:p>
      <w:pPr>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附件十四、残疾人福利性单位声明函</w:t>
      </w:r>
      <w:bookmarkEnd w:id="41"/>
      <w:bookmarkEnd w:id="42"/>
      <w:r/>
    </w:p>
    <w:p>
      <w:pPr>
        <w:spacing w:line="580" w:lineRule="exact"/>
        <w:rPr>
          <w:rFonts w:ascii="宋体" w:hAnsi="宋体" w:cs="宋体"/>
          <w:b/>
          <w:color w:val="000000" w:themeColor="text1"/>
          <w:spacing w:val="6"/>
          <w:sz w:val="24"/>
          <w:highlight w:val="none"/>
          <w:u w:val="single"/>
          <w14:textFill>
            <w14:solidFill>
              <w14:schemeClr w14:val="tx1"/>
            </w14:solidFill>
          </w14:textFill>
        </w:rPr>
      </w:pPr>
      <w:r>
        <w:rPr>
          <w:rFonts w:hint="eastAsia" w:ascii="宋体" w:hAnsi="宋体" w:cs="宋体"/>
          <w:b/>
          <w:color w:val="000000" w:themeColor="text1"/>
          <w:spacing w:val="6"/>
          <w:sz w:val="24"/>
          <w:highlight w:val="none"/>
          <w:u w:val="single"/>
          <w14:textFill>
            <w14:solidFill>
              <w14:schemeClr w14:val="tx1"/>
            </w14:solidFill>
          </w14:textFill>
        </w:rPr>
        <w:t xml:space="preserve">                 ：</w:t>
      </w:r>
      <w:r/>
    </w:p>
    <w:p>
      <w:pPr>
        <w:ind w:firstLine="504"/>
        <w:spacing w:line="580"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 （采购单位） </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z w:val="24"/>
          <w:highlight w:val="none"/>
          <w:u w:val="single"/>
          <w:lang w:val="zh-CN"/>
          <w14:textFill>
            <w14:solidFill>
              <w14:schemeClr w14:val="tx1"/>
            </w14:solidFill>
          </w14:textFill>
        </w:rPr>
        <w:t xml:space="preserve">（招标编号及项目名称）</w:t>
      </w:r>
      <w:r>
        <w:rPr>
          <w:rFonts w:hint="eastAsia" w:ascii="宋体" w:hAnsi="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0"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ind w:firstLine="504"/>
        <w:spacing w:line="580" w:lineRule="exact"/>
        <w:rPr>
          <w:rFonts w:ascii="宋体" w:hAnsi="宋体" w:cs="宋体"/>
          <w:color w:val="000000" w:themeColor="text1"/>
          <w:spacing w:val="6"/>
          <w:sz w:val="24"/>
          <w:highlight w:val="none"/>
          <w14:textFill>
            <w14:solidFill>
              <w14:schemeClr w14:val="tx1"/>
            </w14:solidFill>
          </w14:textFill>
        </w:rPr>
      </w:pPr>
      <w:r>
        <w:rPr>
          <w:rFonts w:ascii="宋体" w:hAnsi="宋体" w:cs="宋体"/>
          <w:color w:val="000000" w:themeColor="text1"/>
          <w:spacing w:val="6"/>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投标单位：（单位盖章） </w:t>
      </w:r>
      <w:r/>
    </w:p>
    <w:p>
      <w:pPr>
        <w:ind w:firstLine="480"/>
        <w:jc w:val="righ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备注：1.享受政府采购支持政策的残疾人福利性单位应当同时满足以下条件：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①安置的残疾人占本单位在职职工人数的比例不低于25%（含25%），并且安置的残疾人人数不少于10人（含10人）；</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②依法与安置的每位残疾人签订了一年以上（含一年）的劳动合同或服务协议；</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2.中标单位为残疾人福利性单位的，《残疾人福利性单位声明函》将随中标结果同时公告。</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3.供应商提供的《残疾人福利性单位声明函》与事实不符的，依照《政府采购法》第七十七条第一款的规定追究法律责任。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left"/>
        <w:rPr>
          <w:color w:val="000000" w:themeColor="text1"/>
          <w:sz w:val="24"/>
          <w:highlight w:val="none"/>
          <w14:textFill>
            <w14:solidFill>
              <w14:schemeClr w14:val="tx1"/>
            </w14:solidFill>
          </w14:textFill>
        </w:rPr>
        <w:outlineLvl w:val="0"/>
      </w:pPr>
      <w:r>
        <w:rPr>
          <w:rFonts w:ascii="宋体" w:hAnsi="宋体"/>
          <w:b/>
          <w:color w:val="000000" w:themeColor="text1"/>
          <w:sz w:val="24"/>
          <w:highlight w:val="none"/>
          <w14:textFill>
            <w14:solidFill>
              <w14:schemeClr w14:val="tx1"/>
            </w14:solidFill>
          </w14:textFill>
        </w:rPr>
        <w:t xml:space="preserve">附件</w:t>
      </w:r>
      <w:r>
        <w:rPr>
          <w:rFonts w:hint="eastAsia" w:ascii="宋体" w:hAnsi="宋体"/>
          <w:b/>
          <w:color w:val="000000" w:themeColor="text1"/>
          <w:sz w:val="24"/>
          <w:highlight w:val="none"/>
          <w14:textFill>
            <w14:solidFill>
              <w14:schemeClr w14:val="tx1"/>
            </w14:solidFill>
          </w14:textFill>
        </w:rPr>
        <w:t xml:space="preserve">十五.</w:t>
      </w:r>
      <w:r>
        <w:rPr>
          <w:rFonts w:ascii="宋体" w:hAnsi="宋体"/>
          <w:b/>
          <w:color w:val="000000" w:themeColor="text1"/>
          <w:sz w:val="24"/>
          <w:highlight w:val="none"/>
          <w14:textFill>
            <w14:solidFill>
              <w14:schemeClr w14:val="tx1"/>
            </w14:solidFill>
          </w14:textFill>
        </w:rPr>
        <w:t xml:space="preserve">关于</w:t>
      </w:r>
      <w:r>
        <w:rPr>
          <w:rFonts w:hint="eastAsia" w:ascii="宋体" w:hAnsi="宋体"/>
          <w:b/>
          <w:color w:val="000000" w:themeColor="text1"/>
          <w:sz w:val="24"/>
          <w:highlight w:val="none"/>
          <w14:textFill>
            <w14:solidFill>
              <w14:schemeClr w14:val="tx1"/>
            </w14:solidFill>
          </w14:textFill>
        </w:rPr>
        <w:t xml:space="preserve">投标报价合理性</w:t>
      </w:r>
      <w:r>
        <w:rPr>
          <w:rFonts w:ascii="宋体" w:hAnsi="宋体"/>
          <w:b/>
          <w:color w:val="000000" w:themeColor="text1"/>
          <w:sz w:val="24"/>
          <w:highlight w:val="none"/>
          <w14:textFill>
            <w14:solidFill>
              <w14:schemeClr w14:val="tx1"/>
            </w14:solidFill>
          </w14:textFill>
        </w:rPr>
        <w:t xml:space="preserve">的</w:t>
      </w:r>
      <w:r>
        <w:rPr>
          <w:rFonts w:hint="eastAsia" w:ascii="宋体" w:hAnsi="宋体"/>
          <w:b/>
          <w:color w:val="000000" w:themeColor="text1"/>
          <w:sz w:val="24"/>
          <w:highlight w:val="none"/>
          <w14:textFill>
            <w14:solidFill>
              <w14:schemeClr w14:val="tx1"/>
            </w14:solidFill>
          </w14:textFill>
        </w:rPr>
        <w:t xml:space="preserve">澄清说明</w:t>
      </w:r>
      <w:r/>
    </w:p>
    <w:p>
      <w:pPr>
        <w:ind w:firstLine="420"/>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关于</w:t>
      </w:r>
      <w:r>
        <w:rPr>
          <w:rFonts w:hint="eastAsia" w:ascii="宋体" w:hAnsi="宋体"/>
          <w:b/>
          <w:color w:val="000000" w:themeColor="text1"/>
          <w:sz w:val="24"/>
          <w:highlight w:val="none"/>
          <w14:textFill>
            <w14:solidFill>
              <w14:schemeClr w14:val="tx1"/>
            </w14:solidFill>
          </w14:textFill>
        </w:rPr>
        <w:t xml:space="preserve">投标报价合理性</w:t>
      </w:r>
      <w:r>
        <w:rPr>
          <w:rFonts w:ascii="宋体" w:hAnsi="宋体"/>
          <w:b/>
          <w:color w:val="000000" w:themeColor="text1"/>
          <w:sz w:val="24"/>
          <w:highlight w:val="none"/>
          <w14:textFill>
            <w14:solidFill>
              <w14:schemeClr w14:val="tx1"/>
            </w14:solidFill>
          </w14:textFill>
        </w:rPr>
        <w:t xml:space="preserve">的</w:t>
      </w:r>
      <w:r>
        <w:rPr>
          <w:rFonts w:hint="eastAsia" w:ascii="宋体" w:hAnsi="宋体"/>
          <w:b/>
          <w:color w:val="000000" w:themeColor="text1"/>
          <w:sz w:val="24"/>
          <w:highlight w:val="none"/>
          <w14:textFill>
            <w14:solidFill>
              <w14:schemeClr w14:val="tx1"/>
            </w14:solidFill>
          </w14:textFill>
        </w:rPr>
        <w:t xml:space="preserve">澄清说明</w:t>
      </w:r>
      <w:r/>
    </w:p>
    <w:p>
      <w:pPr>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苏州星创招投标咨询有限公司（江苏省苏州市中级人民法院）</w:t>
      </w:r>
      <w:r>
        <w:rPr>
          <w:rFonts w:ascii="宋体" w:hAnsi="宋体"/>
          <w:color w:val="000000" w:themeColor="text1"/>
          <w:sz w:val="24"/>
          <w:highlight w:val="none"/>
          <w14:textFill>
            <w14:solidFill>
              <w14:schemeClr w14:val="tx1"/>
            </w14:solidFill>
          </w14:textFill>
        </w:rPr>
        <w:t xml:space="preserve">：</w:t>
      </w:r>
      <w:r/>
    </w:p>
    <w:p>
      <w:pPr>
        <w:pStyle w:val="650"/>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编号）的招标活动进行投标</w:t>
      </w:r>
      <w:r>
        <w:rPr>
          <w:rFonts w:hint="eastAsia" w:ascii="宋体" w:hAnsi="宋体"/>
          <w:color w:val="000000" w:themeColor="text1"/>
          <w:sz w:val="24"/>
          <w:szCs w:val="24"/>
          <w:highlight w:val="none"/>
          <w14:textFill>
            <w14:solidFill>
              <w14:schemeClr w14:val="tx1"/>
            </w14:solidFill>
          </w14:textFill>
        </w:rPr>
        <w:t xml:space="preserve">，对于本公司的投标报价合理性作出说明如下：</w:t>
      </w:r>
      <w:r/>
    </w:p>
    <w:tbl>
      <w:tblPr>
        <w:tblStyle w:val="64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000000" w:themeColor="text1"/>
                <w:sz w:val="24"/>
                <w:highlight w:val="none"/>
                <w:shd w:val="pct10" w:color="auto" w:fill="ffffff"/>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投标人应当根据实际情况自拟答复并根据评标委员会关于澄清的要求提供相关证明材料作为附件。</w:t>
            </w:r>
            <w:r/>
          </w:p>
        </w:tc>
      </w:tr>
    </w:tbl>
    <w:p>
      <w:pPr>
        <w:pStyle w:val="871"/>
        <w:ind w:firstLine="42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4"/>
          <w:szCs w:val="24"/>
          <w:highlight w:val="none"/>
          <w14:textFill>
            <w14:solidFill>
              <w14:schemeClr w14:val="tx1"/>
            </w14:solidFill>
          </w14:textFill>
        </w:rPr>
        <w:t xml:space="preserve">0</w:t>
      </w:r>
      <w:r>
        <w:rPr>
          <w:rFonts w:hint="eastAsia" w:ascii="宋体" w:hAnsi="宋体" w:cs="宋体"/>
          <w:b/>
          <w:color w:val="000000" w:themeColor="text1"/>
          <w:sz w:val="24"/>
          <w:szCs w:val="24"/>
          <w:highlight w:val="none"/>
          <w14:textFill>
            <w14:solidFill>
              <w14:schemeClr w14:val="tx1"/>
            </w14:solidFill>
          </w14:textFill>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3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日期:       </w:t>
      </w:r>
      <w:r>
        <w:rPr>
          <w:rFonts w:hint="eastAsia" w:ascii="宋体" w:hAnsi="宋体"/>
          <w:color w:val="000000" w:themeColor="text1"/>
          <w:szCs w:val="21"/>
          <w:highlight w:val="none"/>
          <w14:textFill>
            <w14:solidFill>
              <w14:schemeClr w14:val="tx1"/>
            </w14:solidFill>
          </w14:textFill>
        </w:rPr>
        <w:t xml:space="preserve">年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6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27"/>
        <w:jc w:val="center"/>
        <w:spacing w:line="360" w:lineRule="auto"/>
        <w:rPr>
          <w:rFonts w:ascii="宋体" w:hAnsi="宋体"/>
          <w:color w:val="000000" w:themeColor="text1"/>
          <w:highlight w:val="none"/>
          <w14:textFill>
            <w14:solidFill>
              <w14:schemeClr w14:val="tx1"/>
            </w14:solidFill>
          </w14:textFill>
        </w:rPr>
      </w:pPr>
      <w:r/>
      <w:bookmarkStart w:id="43" w:name="_Toc518558491"/>
      <w:r>
        <w:rPr>
          <w:rFonts w:hint="eastAsia" w:ascii="宋体" w:hAnsi="宋体"/>
          <w:color w:val="000000" w:themeColor="text1"/>
          <w:highlight w:val="none"/>
          <w14:textFill>
            <w14:solidFill>
              <w14:schemeClr w14:val="tx1"/>
            </w14:solidFill>
          </w14:textFill>
        </w:rPr>
        <w:t xml:space="preserve">第四章 采购内容</w:t>
      </w:r>
      <w:bookmarkEnd w:id="43"/>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受江苏省苏州市中级人民法院的委托，苏州星创招投标咨询有限公司作为招标代理机构，就其苏州市中级人民法院灾备云扩容进行国内公开招标。</w:t>
      </w:r>
      <w:r/>
    </w:p>
    <w:p>
      <w:pPr>
        <w:ind w:left="422"/>
        <w:spacing w:line="360" w:lineRule="auto"/>
        <w:rPr>
          <w:rFonts w:ascii="宋体" w:hAnsi="宋体" w:cs="宋体"/>
          <w:b/>
          <w:color w:val="000000" w:themeColor="text1"/>
          <w:sz w:val="24"/>
          <w:highlight w:val="none"/>
          <w14:textFill>
            <w14:solidFill>
              <w14:schemeClr w14:val="tx1"/>
            </w14:solidFill>
          </w14:textFill>
        </w:rPr>
        <w:outlineLvl w:val="2"/>
      </w:pPr>
      <w:r>
        <w:rPr>
          <w:rFonts w:hint="eastAsia" w:ascii="宋体" w:hAnsi="宋体" w:cs="宋体"/>
          <w:b/>
          <w:color w:val="000000" w:themeColor="text1"/>
          <w:sz w:val="24"/>
          <w:highlight w:val="none"/>
          <w14:textFill>
            <w14:solidFill>
              <w14:schemeClr w14:val="tx1"/>
            </w14:solidFill>
          </w14:textFill>
        </w:rPr>
        <w:t xml:space="preserve">一、项目背景</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苏州市中级人民法院现有设备已无法满足数据备份及容灾需求，拟采购基于现有架构的一体化灾备云架构硬件设施。</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二、采购需求</w:t>
      </w:r>
      <w:r/>
    </w:p>
    <w:p>
      <w:pPr>
        <w:ind w:firstLine="283"/>
        <w:jc w:val="left"/>
        <w:spacing w:line="360" w:lineRule="auto"/>
        <w:rPr>
          <w:rFonts w:ascii="宋体" w:hAnsi="宋体" w:cs="宋体"/>
          <w:color w:val="000000" w:themeColor="text1"/>
          <w:sz w:val="24"/>
          <w:highlight w:val="none"/>
          <w14:textFill>
            <w14:solidFill>
              <w14:schemeClr w14:val="tx1"/>
            </w14:solidFill>
          </w14:textFill>
        </w:rPr>
        <w:outlineLvl w:val="3"/>
      </w:pPr>
      <w:r>
        <w:rPr>
          <w:rFonts w:hint="eastAsia" w:ascii="宋体" w:hAnsi="宋体" w:cs="宋体"/>
          <w:color w:val="000000" w:themeColor="text1"/>
          <w:sz w:val="24"/>
          <w:highlight w:val="none"/>
          <w14:textFill>
            <w14:solidFill>
              <w14:schemeClr w14:val="tx1"/>
            </w14:solidFill>
          </w14:textFill>
        </w:rPr>
        <w:t xml:space="preserve">（1）采购清单</w:t>
      </w:r>
      <w:r/>
    </w:p>
    <w:tbl>
      <w:tblPr>
        <w:tblStyle w:val="64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176"/>
        <w:gridCol w:w="5252"/>
        <w:gridCol w:w="696"/>
        <w:gridCol w:w="697"/>
      </w:tblGrid>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清单名称</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清单特征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基础灾备功能模块</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系统软件提供C86/ARM虚拟机的整机备份、文件备份、数据库备份功能、提供备份文件验证功能、可开启一个虚拟化验证主机，提供备份数据去重与合并功能、提供C86/ARM备份代理程序，提供无系统C86/ARM/虚拟机/云主机裸机还原代理、可实现单/批量文件恢复和下载、提供异构主机间的全量和快速灾难恢复功能，备份数据可挂载恢复到云主机、备份数据归档功能，配置1个物理节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灾备云管理模块</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系统软件提供将存储资源、计算资源进行池化，更大限度提升可靠性、可用性、扩展性和运维可视化等特性，实现灾备业务负载均衡、灾备任务VIP漂移、多副本存储和极简扩容，保障中型以上用户应用系统的服务连续性和数据安全。实现灾备业务的全局管理、多维度展示，提供一个物理节点的灾备云管理能力。配置1个物理节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容灾功能授权</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授权包含</w:t>
            </w:r>
            <w:r>
              <w:rPr>
                <w:rStyle w:val="876"/>
                <w:rFonts w:hint="default"/>
                <w:color w:val="000000" w:themeColor="text1"/>
                <w:sz w:val="24"/>
                <w:szCs w:val="24"/>
                <w:highlight w:val="none"/>
                <w14:textFill>
                  <w14:solidFill>
                    <w14:schemeClr w14:val="tx1"/>
                  </w14:solidFill>
                </w14:textFill>
              </w:rPr>
              <w:t xml:space="preserve">：</w:t>
            </w:r>
            <w:r>
              <w:rPr>
                <w:rStyle w:val="876"/>
                <w:color w:val="000000" w:themeColor="text1"/>
                <w:sz w:val="24"/>
                <w:szCs w:val="24"/>
                <w:highlight w:val="none"/>
                <w14:textFill>
                  <w14:solidFill>
                    <w14:schemeClr w14:val="tx1"/>
                  </w14:solidFill>
                </w14:textFill>
              </w:rPr>
              <w:t xml:space="preserve">两</w:t>
            </w:r>
            <w:r>
              <w:rPr>
                <w:rStyle w:val="876"/>
                <w:rFonts w:hint="default"/>
                <w:color w:val="000000" w:themeColor="text1"/>
                <w:sz w:val="24"/>
                <w:szCs w:val="24"/>
                <w:highlight w:val="none"/>
                <w14:textFill>
                  <w14:solidFill>
                    <w14:schemeClr w14:val="tx1"/>
                  </w14:solidFill>
                </w14:textFill>
              </w:rPr>
              <w:t xml:space="preserve">个物理节点的CDP备份功能；无限制备份数据归档功能；无限制数据库备份功能；无限制文件备份功能；无限制NAS备份/恢复模块功能；</w:t>
            </w:r>
            <w:r>
              <w:rPr>
                <w:rStyle w:val="876"/>
                <w:color w:val="000000" w:themeColor="text1"/>
                <w:sz w:val="24"/>
                <w:szCs w:val="24"/>
                <w:highlight w:val="none"/>
                <w14:textFill>
                  <w14:solidFill>
                    <w14:schemeClr w14:val="tx1"/>
                  </w14:solidFill>
                </w14:textFill>
              </w:rPr>
              <w:t xml:space="preserve">无限制去重压缩功能；无限制定时备份主机数量；</w:t>
            </w:r>
            <w:r>
              <w:rPr>
                <w:rStyle w:val="876"/>
                <w:rFonts w:hint="default"/>
                <w:color w:val="000000" w:themeColor="text1"/>
                <w:sz w:val="24"/>
                <w:szCs w:val="24"/>
                <w:highlight w:val="none"/>
                <w14:textFill>
                  <w14:solidFill>
                    <w14:schemeClr w14:val="tx1"/>
                  </w14:solidFill>
                </w14:textFill>
              </w:rPr>
              <w:t xml:space="preserve">十五分钟异构重建恢复功能；</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存储容量</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原厂灾备云系统软件支持为用户备份数据量≥200T</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p>
        </w:tc>
      </w:tr>
      <w:tr>
        <w:trPr>
          <w:trHeight w:val="218"/>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安装部署及培训、演练服务</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为采购方交付节点内的灾备云初始化服务，包含灾备云系统的安装部署、测试联调后交付。现场集中灾备云系统介绍、操作使用培训等，三年提供5*8小时远程电话支持、5*8小时网络远程支持、邮件支持、每季度基础功能巡检、攻防演练现场支持1年/次、工程师现场验证演练1年/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灾备云服务器</w:t>
            </w:r>
            <w:r/>
          </w:p>
        </w:tc>
        <w:tc>
          <w:tcPr>
            <w:shd w:val="clear" w:color="auto" w:fill="auto"/>
            <w:tcBorders>
              <w:top w:val="single" w:color="000000" w:sz="4" w:space="0"/>
              <w:left w:val="single" w:color="000000" w:sz="4" w:space="0"/>
              <w:bottom w:val="single" w:color="000000" w:sz="4" w:space="0"/>
              <w:right w:val="single" w:color="000000" w:sz="4" w:space="0"/>
            </w:tcBorders>
            <w:tcW w:w="5252"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2U机架式设备；配置不低于：12个磁盘槽位3.5" SAS、SATA磁盘接口，1个冗余电源模块；RAID可支持1,5,6,10,50,60,热备模式；存储配置不低于：20TB 6Gb/s SATA 7200转 3.5寸硬盘*12、480GB 2.5寸 SSD*1；网络配置不低于：板载双端口BASE-T千兆以太网适配器、四端口SFP万兆以太网适配器，含SFP模块；CPU配置不低于：2颗16核32线程集成处理器；内存配置不低于：8*16G适用于2U设备内存</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r>
    </w:tbl>
    <w:p>
      <w:pPr>
        <w:pStyle w:val="655"/>
        <w:ind w:firstLine="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注：1、所投产品的规格尺寸允许±5%内的偏离。以上技术参数为基本要求，材质要求允许正偏离。投标单位所响应的货物必须在技术、功能、性能等参数上满足或高于采购文件中的要求。</w:t>
      </w:r>
      <w:r/>
    </w:p>
    <w:p>
      <w:pPr>
        <w:pStyle w:val="655"/>
        <w:ind w:firstLine="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本项目核心产品为：序号2  灾备云管理模块；核心产品评审说明：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设备（标注）品牌相同的，按上述规定处理。</w:t>
      </w:r>
      <w:r/>
    </w:p>
    <w:p>
      <w:pPr>
        <w:ind w:firstLine="283"/>
        <w:jc w:val="left"/>
        <w:spacing w:line="360" w:lineRule="auto"/>
        <w:rPr>
          <w:rFonts w:ascii="宋体" w:hAnsi="宋体" w:cs="宋体"/>
          <w:color w:val="000000" w:themeColor="text1"/>
          <w:sz w:val="24"/>
          <w:highlight w:val="none"/>
          <w14:textFill>
            <w14:solidFill>
              <w14:schemeClr w14:val="tx1"/>
            </w14:solidFill>
          </w14:textFill>
        </w:rPr>
        <w:outlineLvl w:val="3"/>
      </w:pPr>
      <w:r>
        <w:rPr>
          <w:rFonts w:hint="eastAsia" w:ascii="宋体" w:hAnsi="宋体" w:cs="宋体"/>
          <w:color w:val="000000" w:themeColor="text1"/>
          <w:sz w:val="24"/>
          <w:highlight w:val="none"/>
          <w14:textFill>
            <w14:solidFill>
              <w14:schemeClr w14:val="tx1"/>
            </w14:solidFill>
          </w14:textFill>
        </w:rPr>
        <w:t xml:space="preserve">（2）技术参数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1、灾备云管理模块</w:t>
      </w:r>
      <w:r/>
    </w:p>
    <w:tbl>
      <w:tblPr>
        <w:tblStyle w:val="675"/>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5954"/>
      </w:tblGrid>
      <w:tr>
        <w:trPr/>
        <w:tc>
          <w:tcPr>
            <w:tcW w:w="704"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参数</w:t>
            </w:r>
            <w:r/>
          </w:p>
        </w:tc>
        <w:tc>
          <w:tcPr>
            <w:tcW w:w="5954"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详细参数描述</w:t>
            </w:r>
            <w:r/>
          </w:p>
        </w:tc>
      </w:tr>
      <w:tr>
        <w:trPr/>
        <w:tc>
          <w:tcPr>
            <w:tcBorders>
              <w:right w:val="single" w:color="auto" w:sz="4" w:space="0"/>
            </w:tcBorders>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灾备业务RPO达标率监控和报表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可根据各个备份任务的备份策略，对备份任务的RPO达标率进行图形化展示，并提供明细数据支持。未达成RPO目标时自动告警通知和展示，并提供告警统计汇总图表和对应的明细数据；</w:t>
            </w:r>
            <w:r/>
          </w:p>
        </w:tc>
      </w:tr>
      <w:tr>
        <w:trPr/>
        <w:tc>
          <w:tcPr>
            <w:tcBorders>
              <w:right w:val="single" w:color="auto" w:sz="4" w:space="0"/>
            </w:tcBorders>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可对所有备份任务、历史点数据提供自动验证设置，对未配置自动验证计划的备份任务进行百分比统计展示，对开展了自动验证的历史点数据提供验证后RPO达标率百分比和明细数据；</w:t>
            </w:r>
            <w:r/>
          </w:p>
        </w:tc>
      </w:tr>
      <w:tr>
        <w:trPr/>
        <w:tc>
          <w:tcPr>
            <w:tcBorders>
              <w:right w:val="single" w:color="auto" w:sz="4" w:space="0"/>
            </w:tcBorders>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灾备自动化验证报表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可提供基于操作系统、磁盘卷、业务端口、业务进程和自定义脚本的自动验证方式对备份数据提供自动化验证，并提供验证方式统计图表对应的汇总和明细报表支持；</w:t>
            </w:r>
            <w:r/>
          </w:p>
        </w:tc>
      </w:tr>
      <w:tr>
        <w:trPr/>
        <w:tc>
          <w:tcPr>
            <w:tcBorders>
              <w:right w:val="single" w:color="auto" w:sz="4" w:space="0"/>
            </w:tcBorders>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灾备重建恢复报表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可提供文件恢复、卷恢复、云上应急容灾恢复、云间容灾恢复、主机重建恢复等各种恢复方式，且对不同恢复方式的恢复成功率提供对应的汇总图表和明细数据；</w:t>
            </w:r>
            <w:r/>
          </w:p>
        </w:tc>
      </w:tr>
      <w:tr>
        <w:trPr/>
        <w:tc>
          <w:tcPr>
            <w:tcBorders>
              <w:right w:val="single" w:color="auto" w:sz="4" w:space="0"/>
            </w:tcBorders>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灾备RTO监控报表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可以自动对各种恢复方式的最大、最小和平均的RTO值进行统计，且提供汇总图表和明细数据</w:t>
            </w:r>
            <w:r/>
          </w:p>
        </w:tc>
      </w:tr>
      <w:tr>
        <w:trPr/>
        <w:tc>
          <w:tcPr>
            <w:tcBorders>
              <w:right w:val="single" w:color="auto" w:sz="4" w:space="0"/>
            </w:tcBorders>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可以对所有恢复失败的历史操作和原因提供对应的汇总统计图表和明细数据；</w:t>
            </w:r>
            <w:r/>
          </w:p>
        </w:tc>
      </w:tr>
      <w:tr>
        <w:trPr/>
        <w:tc>
          <w:tcPr>
            <w:tcBorders>
              <w:right w:val="single" w:color="auto" w:sz="4" w:space="0"/>
            </w:tcBorders>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能够展示整个灾备云平台灾备业务关键指标（RPO和RTO）指标总览和监测，也能够展示租户界别的灾备业务关键指标（RPO和RTO）指标总览和监测；</w:t>
            </w:r>
            <w:r/>
          </w:p>
        </w:tc>
      </w:tr>
      <w:tr>
        <w:trPr/>
        <w:tc>
          <w:tcPr>
            <w:tcBorders>
              <w:right w:val="single" w:color="auto" w:sz="4" w:space="0"/>
            </w:tcBorders>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灾备云平台资源报表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总览展示灾备云平台的整体资源详情，如物理节点数量、IP、在线/离线/故障状态，灾备云平台的物理CPU资源统计、物理内存统计和物理存储资源统计、内部通信网络、数据服务网络等资源统计；</w:t>
            </w:r>
            <w:r/>
          </w:p>
        </w:tc>
      </w:tr>
      <w:tr>
        <w:trPr/>
        <w:tc>
          <w:tcPr>
            <w:tcBorders>
              <w:right w:val="single" w:color="auto" w:sz="4" w:space="0"/>
            </w:tcBorders>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left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灾备任务执行监控和报表</w:t>
            </w:r>
            <w:r/>
          </w:p>
        </w:tc>
        <w:tc>
          <w:tcPr>
            <w:tcBorders>
              <w:left w:val="single" w:color="auto" w:sz="4" w:space="0"/>
            </w:tcBorders>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能全局和分组筛选的方式展示云平台负载的所有灾备任务，灾备任务可从备份类型、验证和恢复等维度进行分类统计展示，能够对客户端总量、备份执行中的客户端数量、离线客户端、故障客户端等明细详情进行报表和展示。</w:t>
            </w:r>
            <w:r/>
          </w:p>
        </w:tc>
      </w:tr>
      <w:tr>
        <w:trPr/>
        <w:tc>
          <w:tcPr>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灾备云平台性能监控</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监测统计灾备云平台整体的实时运行状态。性能指标包括但不限于： CPU、内存、网络、 IO 等的实时状态；</w:t>
            </w:r>
            <w:r/>
          </w:p>
        </w:tc>
      </w:tr>
      <w:tr>
        <w:trPr/>
        <w:tc>
          <w:tcPr>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灾备云负载监控</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对灾备云各物理节点的客户端, 任务等负载情况, 以及节点的性能指标包括但不限于:CPU、内存、网络、IO、存储吞吐量、存储IOPS等实时监控展示。</w:t>
            </w:r>
            <w:r/>
          </w:p>
        </w:tc>
      </w:tr>
      <w:tr>
        <w:trPr/>
        <w:tc>
          <w:tcPr>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灾备云存储资源监控</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支持平台整体存储池资源使用情况、可用情况、存储使用趋势，存储资源使用排行榜，空间策略统计等；</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能够提供租户和灾备客户端级别的存储资源使用统计图表；</w:t>
            </w:r>
            <w:r/>
          </w:p>
        </w:tc>
      </w:tr>
      <w:tr>
        <w:trPr/>
        <w:tc>
          <w:tcPr>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灾备云平台资源池化</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灾备存储资源采用分布式架构，由多台物理服务器组成分布式存储集群，通过新增物理服务器实现存储容量和性能的横向扩展（Scale-out架构）扩容过程业务零中断；</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可对统一的存储资源池可进行整机的存储资源监控，有效展示存储空间使用情况，也可针对单节点监控存储空间使用情况；</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灾备资源统一管理，所有灾备节点对被外发布的为一个IP地址，防止因灾备系统单节点物理主机资源隔离导致单点故障，或因单个节点的故障导致该部分灾备任务无法执行、灾备数据无法使用；</w:t>
            </w:r>
            <w:r/>
          </w:p>
        </w:tc>
      </w:tr>
      <w:tr>
        <w:trPr/>
        <w:tc>
          <w:tcPr>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灾备云水平扩展</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可为某一物理节点在线添加硬盘、可为整个灾备系统在线添加物理节点等，均无需灾备系统停机,保障灾备服务的连续性。</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可关闭某物理节电源后点添加该节点的内存、CPU等计算资源，重启后添加的内存和CPU资源可即时在资源监控界面上展示。</w:t>
            </w:r>
            <w:r/>
          </w:p>
        </w:tc>
      </w:tr>
      <w:tr>
        <w:trPr/>
        <w:tc>
          <w:tcPr>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灾备任务故障转移</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物理节点损坏，该节点上所有的灾备业务均可自动漂移, 灾备主服务节点和灾备任务服务均可自动漂移到其他节点上。节点互为主备、仲裁，构建灾备系统的高可靠，任何一个节点故障对节点上运行的灾备任务不造成任何影响。</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运行应急容灾业务的虚拟机的物理节点损坏时，应急容灾虚拟机能自动漂移到其他物理节点并继续执行应急容灾服务；</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存储支持2副本以上冗余功能，且保存在不同的物理节点，任意节点发生故障时负载能够自动切换到其他节点且可在不间断业务的情况下进行修复；</w:t>
            </w:r>
            <w:r/>
          </w:p>
        </w:tc>
      </w:tr>
      <w:tr>
        <w:trPr/>
        <w:tc>
          <w:tcPr>
            <w:tcW w:w="704" w:type="dxa"/>
            <w:vAlign w:val="center"/>
            <w:vMerge w:val="restart"/>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restart"/>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灾备任务负载均衡</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灾备客户端可全局负载至灾备系统各节点，并在运行过程中根据节点负载进行动态调整更换至负载小的节点，防止因单个节点的负载过大影响灾备任务服务质量；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数据验证、业务灾难重建等灾备任务执行可根据物理节点的负载情况动态负载均衡至其他负载小的物理节点；</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灾备应急容灾时，灾备系统可根据物理节点资源进行自动负载，还可人工介入对应急容灾任务进行物理节点调整，如更改到物理资源更大的宿主机上提供性能更好的应急容灾服务；</w:t>
            </w:r>
            <w:r/>
          </w:p>
        </w:tc>
      </w:tr>
      <w:tr>
        <w:trPr/>
        <w:tc>
          <w:tcPr>
            <w:tcW w:w="704" w:type="dxa"/>
            <w:vAlign w:val="center"/>
            <w:vMerge w:val="continue"/>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vMerge w:val="continue"/>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灾备任务（数据备份、验证演练、应急接管和重建恢复）可在多个备份节点上自动负载均衡，且能对负载任务进行监控和管理</w:t>
            </w:r>
            <w:r>
              <w:rPr>
                <w:rFonts w:hint="eastAsia" w:ascii="宋体" w:hAnsi="宋体" w:cs="宋体"/>
                <w:b/>
                <w:bCs/>
                <w:color w:val="000000" w:themeColor="text1"/>
                <w:sz w:val="24"/>
                <w:highlight w:val="none"/>
                <w14:textFill>
                  <w14:solidFill>
                    <w14:schemeClr w14:val="tx1"/>
                  </w14:solidFill>
                </w14:textFill>
              </w:rPr>
              <w:t xml:space="preserve">（提供具有国家认可的第三方机构出具的检测报告复印件）</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704" w:type="dxa"/>
            <w:vAlign w:val="center"/>
            <w:textDirection w:val="lrTb"/>
            <w:noWrap w:val="false"/>
          </w:tcPr>
          <w:p>
            <w:pPr>
              <w:pStyle w:val="688"/>
              <w:numPr>
                <w:ilvl w:val="0"/>
                <w:numId w:val="5"/>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灾备云资源</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提供不少于2个灾备云节点授权，灾备云采用整体灾备架构；</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灾备云平台可支持双副本400T空间。</w:t>
            </w:r>
            <w:r/>
          </w:p>
        </w:tc>
      </w:tr>
    </w:tbl>
    <w:p>
      <w:pPr>
        <w:pStyle w:val="688"/>
        <w:ind w:left="0"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2、基础灾备功能模块</w:t>
      </w:r>
      <w:r/>
    </w:p>
    <w:tbl>
      <w:tblPr>
        <w:tblStyle w:val="675"/>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5954"/>
      </w:tblGrid>
      <w:tr>
        <w:trPr/>
        <w:tc>
          <w:tcPr>
            <w:tcW w:w="70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参数</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详细参数描述</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模块兼容</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国产自主研发品牌，非OEM产品，数据备份与恢复系统模块需与灾备云平台为同一品牌，新增模块需与原平台兼容</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备份需求</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提供一个物理节点的CDP备份功能；无限制备份数据归档功能；无限制数据库备份功能；无限制文件备份功能；无限制NAS备份/恢复模块功能；十五分钟异构重建恢复功能；提供业务裸机分钟级快速重建授权；</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整机备份</w:t>
            </w:r>
            <w:r/>
          </w:p>
        </w:tc>
        <w:tc>
          <w:tcPr>
            <w:tcW w:w="5954" w:type="dxa"/>
            <w:textDirection w:val="lrTb"/>
            <w:noWrap w:val="false"/>
          </w:tcPr>
          <w:p>
            <w:pPr>
              <w:pStyle w:val="688"/>
              <w:numPr>
                <w:ilvl w:val="0"/>
                <w:numId w:val="7"/>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针对集群和数据库提供基于磁盘数据块复制技术的整机备份，无需了解主机业务系统类型、部署方法、业务系统间的数据交互机制、数据结构/逻辑关系和数据库架构，实现整体数据备份，保障数据一致性。</w:t>
            </w:r>
            <w:r/>
          </w:p>
          <w:p>
            <w:pPr>
              <w:pStyle w:val="688"/>
              <w:numPr>
                <w:ilvl w:val="0"/>
                <w:numId w:val="7"/>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对X86架构下的物理机、虚拟机、超融合、私有云和公有云提供统一的将主机的操作系统、应用系统、数据库和数据/文件作为一个整体的一致性灾备保护。</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CDP持续数据保护</w:t>
            </w:r>
            <w:r/>
          </w:p>
        </w:tc>
        <w:tc>
          <w:tcPr>
            <w:tcW w:w="5954" w:type="dxa"/>
            <w:textDirection w:val="lrTb"/>
            <w:noWrap w:val="false"/>
          </w:tcPr>
          <w:p>
            <w:pPr>
              <w:pStyle w:val="688"/>
              <w:numPr>
                <w:ilvl w:val="0"/>
                <w:numId w:val="8"/>
              </w:numPr>
              <w:spacing w:line="360" w:lineRule="auto"/>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对任意品牌技术的X86主机、虚拟机和云主机的统一整机备份能力（单机、集群和分布式架构应用）；对X86主机、虚拟机和云主机的整机CDP持续数据保护时间颗粒度可达到微秒级别（百万分之一秒）</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（提供具有国家认可的第三方机构出具的检测报告复印件）</w:t>
            </w:r>
            <w:r/>
          </w:p>
          <w:p>
            <w:pPr>
              <w:pStyle w:val="688"/>
              <w:numPr>
                <w:ilvl w:val="0"/>
                <w:numId w:val="8"/>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执行微秒级CDP保护过程，对被保护主机性能影响小于百分之一，防止因CDP持续数据对生产主机造成性能影响。</w:t>
            </w:r>
            <w:r/>
          </w:p>
          <w:p>
            <w:pPr>
              <w:pStyle w:val="688"/>
              <w:numPr>
                <w:ilvl w:val="0"/>
                <w:numId w:val="8"/>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针对核心数据库支持同步CDP，实现高性能主机的持续数据保护，RPO可等于0，不出现任何数据丢失； </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定时备份策略</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支持任意的分/时/天/月/年/仅备份一次等策略执行定时备份，操作简单，策略灵活；</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永久增量参数</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支持完整备份和增量备份，第一次备份时使用完整备份保留整机应用的完整状态，后续采用增量备份，大幅减少备份的数据量。</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重建恢复</w:t>
            </w:r>
            <w:r/>
          </w:p>
        </w:tc>
        <w:tc>
          <w:tcPr>
            <w:tcW w:w="5954" w:type="dxa"/>
            <w:textDirection w:val="lrTb"/>
            <w:noWrap w:val="false"/>
          </w:tcPr>
          <w:p>
            <w:pPr>
              <w:pStyle w:val="688"/>
              <w:numPr>
                <w:ilvl w:val="0"/>
                <w:numId w:val="9"/>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支持整机全场景恢复，无需部署配置操作系统、应用和数据库等系统环境，实现全场景带业务逻辑的整机灾难重建，无需人工手动安装驱动、更改注册表信息、应用配置信息等，极大降低灾难重建恢复难度和效率</w:t>
            </w:r>
            <w:r/>
          </w:p>
          <w:p>
            <w:pPr>
              <w:pStyle w:val="688"/>
              <w:numPr>
                <w:ilvl w:val="0"/>
                <w:numId w:val="9"/>
              </w:numPr>
              <w:spacing w:line="360" w:lineRule="auto"/>
              <w:rPr>
                <w:rFonts w:ascii="宋体" w:hAnsi="宋体" w:cs="宋体"/>
                <w:b/>
                <w:bCs/>
                <w:color w:val="000000" w:themeColor="text1"/>
                <w:sz w:val="24"/>
                <w:highlight w:val="none"/>
                <w14:textFill>
                  <w14:solidFill>
                    <w14:schemeClr w14:val="tx1"/>
                  </w14:solidFill>
                </w14:textFill>
              </w:rPr>
            </w:pPr>
            <w:r>
              <w:rPr>
                <w:rFonts w:ascii="Wingdings" w:hAnsi="Wingdings" w:eastAsia="Wingdings" w:cs="Wingdings"/>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千兆网络环境中，无需预置灾备演练或灾难恢复环境，无论数据量大小，支持15分钟内将应用系统灾备点重建至目标主机上，实现业务服务恢复（提供具有国家认可的第三方机构出具的检测报告</w:t>
            </w:r>
            <w:r>
              <w:rPr>
                <w:rFonts w:hint="eastAsia" w:ascii="宋体" w:hAnsi="宋体" w:cs="宋体"/>
                <w:b/>
                <w:bCs/>
                <w:color w:val="000000" w:themeColor="text1"/>
                <w:sz w:val="24"/>
                <w:highlight w:val="none"/>
                <w14:textFill>
                  <w14:solidFill>
                    <w14:schemeClr w14:val="tx1"/>
                  </w14:solidFill>
                </w14:textFill>
              </w:rPr>
              <w:t xml:space="preserve">复印件）。</w:t>
            </w:r>
            <w:r/>
          </w:p>
          <w:p>
            <w:pPr>
              <w:pStyle w:val="688"/>
              <w:numPr>
                <w:ilvl w:val="0"/>
                <w:numId w:val="9"/>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支持共享存储类集群、共享文件系统集群、双机HA热备架构下的应用主机的裸机双节点或多节点整机重建恢复，千兆网络下15分钟内重建恢复至正常使用。</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数据库恢复</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用户日常运维过程中丢失单个表单，可通过灾备系统结合数据库恢复工具，实现单表恢复；</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当数据库系统出现任意灾难时，灾备系统可通过自启验证系统，对备份的数据库系统进行验证，对任意一条数据的一致性、可靠性、可用性验证成功后，再进行整机恢复</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文件恢复</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用户日常运维过程中丢失单个文件/文件夹，灾备系统支持将任意时间的备份点加载为网络共享路径或在WEB浏览器中直接URL访问的方式，管理员可轻松找到该文件并复制出来；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支持采用文件的直接恢复的方式，可指定恢复单个文件或文件夹到原机某个目录下；</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卷恢复</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当用户某个磁盘卷出现重大问题损坏时，支持选择对应的备份点进行卷恢复和磁盘恢复 功能；可以实现卷恢复RPO秒级;</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国产操作系统支持</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具备兼容性；支持国产操作系统如麒麟，统信UOS，中科方德等操作系统灾备保护功能；</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国产芯片支持</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具备兼容性；支持鲲鹏、兆芯和飞腾架构的国产物理服务器的灾备保护；</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应用架构兼容性</w:t>
            </w:r>
            <w:r/>
          </w:p>
        </w:tc>
        <w:tc>
          <w:tcPr>
            <w:tcW w:w="5954"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提供对武汉达梦、人大金仓、神州通用、南大通用、云和恩墨、万里、瀚高、海量、平凯数据库等国产数据库的CDP实时保护，灾难发生时可实现任意时间的恢复。</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提供对任意品牌技术的X86、C86、ARM服务器的统一灾备保护功能，支持对国产操作系统中标麒麟、银河麒麟、统信、中科方德、欧拉等的灾备保护</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未来新上业务兼容性</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提供整机份技术备份整机应用状态，无需了解业务系统的类型、部署方法、业务系统间的数据交互机制、数据结构/逻辑关系和数据库的品牌/版本，实现对现有及未来新上业务系统的保护兼容性；</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分级管理员设置</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分权管理：支持对备份系统的用户的分级管理，如：安全管理员、审计管理员、系统管理员、普通用户等不同的角色，并且可以纪录所有的用户的操作情况。</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客户端安装、卸载过程不需要重新启动业务系统，即可实现在线完整备份。</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传输</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支持断点续传，当备份复制过程中出现非正常中断后，恢复备份条件后可基于上一次断点处进行续传。</w:t>
            </w:r>
            <w:r/>
          </w:p>
        </w:tc>
      </w:tr>
      <w:tr>
        <w:trPr/>
        <w:tc>
          <w:tcPr>
            <w:tcW w:w="704" w:type="dxa"/>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告警信息</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支持以邮件、短信告警的方式，针对于备份存储系统的软件故障、存储空间、备份任务、操作状态等信息及时通知管理员</w:t>
            </w:r>
            <w:r/>
          </w:p>
        </w:tc>
      </w:tr>
      <w:tr>
        <w:trPr/>
        <w:tc>
          <w:tcPr>
            <w:tcW w:w="704" w:type="dxa"/>
            <w:vMerge w:val="restart"/>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Merge w:val="restart"/>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安全特性</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传输安全性备份系统采用磁盘数据块复制而非传统文件级复制，需要原厂定制系统才能识别，同时采用“AES256”加密传输，即便在传输过程中被截取，也无法被获取有价值的数据，保障用户数据安全。支持配置登陆超时锁定策略、登录失败锁定。</w:t>
            </w:r>
            <w:r/>
          </w:p>
        </w:tc>
      </w:tr>
      <w:tr>
        <w:trPr/>
        <w:tc>
          <w:tcPr>
            <w:tcW w:w="704" w:type="dxa"/>
            <w:vMerge w:val="continue"/>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Merge w:val="continue"/>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备份系统的专用嵌入式操作系统维护后台采用动态口令机制，动态口令由设备管理员和原厂口令组成，原厂口令随着设备管理员的改密码操作而变化，确保系统后台密码都是唯一的，减少被攻破的可能性。</w:t>
            </w:r>
            <w:r/>
          </w:p>
        </w:tc>
      </w:tr>
      <w:tr>
        <w:trPr/>
        <w:tc>
          <w:tcPr>
            <w:tcW w:w="704" w:type="dxa"/>
            <w:vMerge w:val="continue"/>
            <w:textDirection w:val="lrTb"/>
            <w:noWrap w:val="false"/>
          </w:tcPr>
          <w:p>
            <w:pPr>
              <w:pStyle w:val="688"/>
              <w:numPr>
                <w:ilvl w:val="0"/>
                <w:numId w:val="6"/>
              </w:num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Merge w:val="continue"/>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灾备系统网络可配置“网卡自动关闭/定时开启策略”，还可将除备份数据传输端口外的SSH、网络访问等网络端口全部关闭，杜绝除传输备份数据流之外一切网络访问的可能，降低灾备系统被攻击的概率；</w:t>
            </w:r>
            <w:r/>
          </w:p>
        </w:tc>
      </w:tr>
    </w:tbl>
    <w:p>
      <w:pPr>
        <w:pStyle w:val="6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3.容灾功能授权</w:t>
      </w:r>
      <w:r/>
    </w:p>
    <w:tbl>
      <w:tblPr>
        <w:tblStyle w:val="675"/>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5954"/>
      </w:tblGrid>
      <w:tr>
        <w:trPr/>
        <w:tc>
          <w:tcPr>
            <w:tcW w:w="704"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701"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参数</w:t>
            </w:r>
            <w:r/>
          </w:p>
        </w:tc>
        <w:tc>
          <w:tcPr>
            <w:tcW w:w="5954"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详细参数描述</w:t>
            </w:r>
            <w:r/>
          </w:p>
        </w:tc>
      </w:tr>
      <w:tr>
        <w:trPr/>
        <w:tc>
          <w:tcPr>
            <w:tcW w:w="704"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701"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参数</w:t>
            </w:r>
            <w:r/>
          </w:p>
        </w:tc>
        <w:tc>
          <w:tcPr>
            <w:tcW w:w="5954" w:type="dxa"/>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详细参数描述</w:t>
            </w:r>
            <w:r/>
          </w:p>
        </w:tc>
      </w:tr>
      <w:tr>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模块兼容</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验证和演练系统模块需与灾备云平台为同一品牌</w:t>
            </w:r>
            <w:r/>
          </w:p>
        </w:tc>
      </w:tr>
      <w:tr>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文件验证</w:t>
            </w:r>
            <w:r/>
          </w:p>
        </w:tc>
        <w:tc>
          <w:tcPr>
            <w:tcW w:w="5954" w:type="dxa"/>
            <w:textDirection w:val="lrTb"/>
            <w:noWrap w:val="false"/>
          </w:tcPr>
          <w:p>
            <w:pPr>
              <w:pStyle w:val="688"/>
              <w:ind w:left="360" w:hanging="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1、可将选定的备份点加载为CIFS文件共享和网络共享路径可直接在WEB浏览器中直接URL访问，管理员可快速确认需被验证的备份点文件是否是符合预期，备份点是否可用、可靠；</w:t>
            </w:r>
            <w:r/>
          </w:p>
        </w:tc>
      </w:tr>
      <w:tr>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快速整机验证</w:t>
            </w:r>
            <w:r/>
          </w:p>
        </w:tc>
        <w:tc>
          <w:tcPr>
            <w:tcW w:w="5954" w:type="dxa"/>
            <w:textDirection w:val="lrTb"/>
            <w:noWrap w:val="false"/>
          </w:tcPr>
          <w:p>
            <w:pPr>
              <w:pStyle w:val="688"/>
              <w:ind w:left="360" w:hanging="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2、可自建隔离私有虚拟化验证环境，无论备份任务是否停止，可同时选一个备份任务的多个备份点执行虚拟化验证备份数据的一致性和可靠性，在灾难发生时采用二分法快速定位出最佳灾难恢复的备份历史点；</w:t>
            </w:r>
            <w:r/>
          </w:p>
          <w:p>
            <w:pPr>
              <w:pStyle w:val="688"/>
              <w:ind w:left="360" w:hanging="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3、可同时启动多个虚拟机对集群业务系等共享存储的集群数据库和应用提供快速整机虚拟化验证</w:t>
            </w:r>
            <w:r/>
          </w:p>
        </w:tc>
      </w:tr>
      <w:tr>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双机切换演练</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重要系统双机之间自动化灾备切换演练功能，支持双机主备模式，主机、备机之间支持异构|同构，规避生产数据中心单一平台故障瘫痪，无需预置操作系统环境等配置，可支持异构物理主机服务器之间的热备切换容灾。</w:t>
            </w:r>
            <w:r/>
          </w:p>
        </w:tc>
      </w:tr>
      <w:tr>
        <w:trPr>
          <w:trHeight w:val="546"/>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重建恢复演练</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Wingdings" w:hAnsi="Wingdings" w:eastAsia="Wingdings" w:cs="Wingdings"/>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支持应用及灾难重建恢复，无需部署/预置目标机环境（操作系统、应用系统、数据库和配置业务逻辑），一键实现全场景应用级灾难重建恢复</w:t>
            </w:r>
            <w:r>
              <w:rPr>
                <w:rFonts w:hint="eastAsia" w:ascii="宋体" w:hAnsi="宋体" w:cs="宋体"/>
                <w:b/>
                <w:bCs/>
                <w:color w:val="000000" w:themeColor="text1"/>
                <w:sz w:val="24"/>
                <w:highlight w:val="none"/>
                <w14:textFill>
                  <w14:solidFill>
                    <w14:schemeClr w14:val="tx1"/>
                  </w14:solidFill>
                </w14:textFill>
              </w:rPr>
              <w:t xml:space="preserve">（提供具有国家认可的第三方机构出具的检测报告复印件）</w:t>
            </w:r>
            <w:r>
              <w:rPr>
                <w:rFonts w:hint="eastAsia" w:ascii="宋体" w:hAnsi="宋体" w:cs="宋体"/>
                <w:color w:val="000000" w:themeColor="text1"/>
                <w:sz w:val="24"/>
                <w:highlight w:val="none"/>
                <w14:textFill>
                  <w14:solidFill>
                    <w14:schemeClr w14:val="tx1"/>
                  </w14:solidFill>
                </w14:textFill>
              </w:rPr>
              <w:t xml:space="preserve">。</w:t>
            </w:r>
            <w:r/>
          </w:p>
        </w:tc>
      </w:tr>
      <w:tr>
        <w:trPr>
          <w:trHeight w:val="546"/>
        </w:trPr>
        <w:tc>
          <w:tcPr>
            <w:tcW w:w="704" w:type="dxa"/>
            <w:vAlign w:val="center"/>
            <w:textDirection w:val="lrTb"/>
            <w:noWrap w:val="false"/>
          </w:tcPr>
          <w:p>
            <w:pPr>
              <w:pStyle w:val="688"/>
              <w:numPr>
                <w:ilvl w:val="0"/>
                <w:numId w:val="10"/>
              </w:num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容灾功能</w:t>
            </w:r>
            <w:r/>
          </w:p>
        </w:tc>
        <w:tc>
          <w:tcPr>
            <w:tcW w:w="5954" w:type="dxa"/>
            <w:textDirection w:val="lrTb"/>
            <w:noWrap w:val="false"/>
          </w:tcPr>
          <w:p>
            <w:pPr>
              <w:spacing w:line="360" w:lineRule="auto"/>
              <w:rPr>
                <w:rFonts w:ascii="宋体" w:hAnsi="宋体" w:cs="宋体"/>
                <w:b/>
                <w:color w:val="000000" w:themeColor="text1"/>
                <w:sz w:val="24"/>
                <w:highlight w:val="none"/>
                <w14:textFill>
                  <w14:solidFill>
                    <w14:schemeClr w14:val="tx1"/>
                  </w14:solidFill>
                </w14:textFill>
              </w:rPr>
            </w:pPr>
            <w:r>
              <w:rPr>
                <w:rFonts w:ascii="Wingdings" w:hAnsi="Wingdings" w:eastAsia="Wingdings" w:cs="Wingdings"/>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中标后提供测试机现场测试（需提供承诺函）</w:t>
            </w:r>
            <w:r/>
          </w:p>
        </w:tc>
      </w:tr>
    </w:tbl>
    <w:p>
      <w:pPr>
        <w:pStyle w:val="6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4、存储容量</w:t>
      </w:r>
      <w:r/>
    </w:p>
    <w:tbl>
      <w:tblPr>
        <w:tblStyle w:val="675"/>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5954"/>
      </w:tblGrid>
      <w:tr>
        <w:trPr>
          <w:trHeight w:val="546"/>
        </w:trPr>
        <w:tc>
          <w:tcPr>
            <w:tcW w:w="704" w:type="dxa"/>
            <w:vAlign w:val="center"/>
            <w:textDirection w:val="lrTb"/>
            <w:noWrap w:val="false"/>
          </w:tcPr>
          <w:p>
            <w:pPr>
              <w:pStyle w:val="688"/>
              <w:ind w:left="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701"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容量授权</w:t>
            </w:r>
            <w:r/>
          </w:p>
        </w:tc>
        <w:tc>
          <w:tcPr>
            <w:tcW w:w="5954"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原厂灾备云系统软件支持为用户备份数据量≥200T</w:t>
            </w:r>
            <w:r/>
          </w:p>
        </w:tc>
      </w:tr>
    </w:tbl>
    <w:p>
      <w:pPr>
        <w:pStyle w:val="671"/>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6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5、安装部署演练服务</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6659"/>
      </w:tblGrid>
      <w:tr>
        <w:trPr/>
        <w:tc>
          <w:tcPr>
            <w:tcW w:w="100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W w:w="6659"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技术参数</w:t>
            </w:r>
            <w:r/>
          </w:p>
        </w:tc>
      </w:tr>
      <w:tr>
        <w:trPr>
          <w:trHeight w:val="1588"/>
        </w:trPr>
        <w:tc>
          <w:tcPr>
            <w:tcW w:w="100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安装部署及培训、演练服务</w:t>
            </w:r>
            <w:r/>
          </w:p>
        </w:tc>
        <w:tc>
          <w:tcPr>
            <w:tcW w:w="6659"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为采购方交付节点内的灾备云初始化服务，包含灾备云系统的安装部署、测试联调后交付。现场集中灾备云系统介绍、操作使用培训等，三年提供5*8小时远程电话支持、5*8小时网络远程支持、邮件支持、每季度基础功能巡检、攻防演练现场支持1年/次、工程师现场验证演练1年/次</w:t>
            </w:r>
            <w:r/>
          </w:p>
        </w:tc>
      </w:tr>
    </w:tbl>
    <w:p>
      <w:pPr>
        <w:pStyle w:val="68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6、灾备云平台服务器</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6919"/>
      </w:tblGrid>
      <w:tr>
        <w:trPr/>
        <w:tc>
          <w:tcPr>
            <w:tcW w:w="74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W w:w="6919"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技术参数</w:t>
            </w:r>
            <w:r/>
          </w:p>
        </w:tc>
      </w:tr>
      <w:tr>
        <w:trPr>
          <w:trHeight w:val="748"/>
        </w:trPr>
        <w:tc>
          <w:tcPr>
            <w:tcW w:w="74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灾备云服务器</w:t>
            </w:r>
            <w:r/>
          </w:p>
        </w:tc>
        <w:tc>
          <w:tcPr>
            <w:tcW w:w="6919"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2U机架式设备；配置不低于：12个磁盘槽位3.5" SAS、SATA磁盘接口，1个冗余电源模块；RAID可支持1,5,6,10,50,60,热备模式；存储配置不低于：20TB 6Gb/s SATA 7200转 3.5寸硬盘*12、480GB 2.5寸 SSD*1；网络配置不低于：板载双端口BASE-T千兆以太网适配器、四端口SFP万兆以太网适配器，含SFP模块；CPU配置不低于：2颗16核32线程集成处理器；内存配置不低于：8*16G适用于2U设备内存</w:t>
            </w:r>
            <w:r/>
          </w:p>
        </w:tc>
      </w:tr>
    </w:tbl>
    <w:p>
      <w:pPr>
        <w:ind w:left="211" w:firstLine="211"/>
        <w:spacing w:line="360" w:lineRule="auto"/>
        <w:rPr>
          <w:rFonts w:ascii="宋体" w:hAnsi="宋体" w:cs="宋体"/>
          <w:b/>
          <w:color w:val="000000" w:themeColor="text1"/>
          <w:sz w:val="24"/>
          <w:highlight w:val="none"/>
          <w14:textFill>
            <w14:solidFill>
              <w14:schemeClr w14:val="tx1"/>
            </w14:solidFill>
          </w14:textFill>
        </w:rPr>
        <w:outlineLvl w:val="2"/>
      </w:pPr>
      <w:r>
        <w:rPr>
          <w:rFonts w:hint="eastAsia" w:ascii="宋体" w:hAnsi="宋体" w:cs="宋体"/>
          <w:b/>
          <w:color w:val="000000" w:themeColor="text1"/>
          <w:sz w:val="24"/>
          <w:highlight w:val="none"/>
          <w14:textFill>
            <w14:solidFill>
              <w14:schemeClr w14:val="tx1"/>
            </w14:solidFill>
          </w14:textFill>
        </w:rPr>
        <w:t xml:space="preserve">（3）项目实施要求</w:t>
      </w:r>
      <w:r/>
    </w:p>
    <w:p>
      <w:pPr>
        <w:ind w:firstLine="480"/>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交货期限、地点：</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1.1交货期限：</w:t>
      </w:r>
      <w:r>
        <w:rPr>
          <w:rFonts w:hint="eastAsia" w:ascii="宋体" w:hAnsi="宋体" w:cs="宋体"/>
          <w:color w:val="000000" w:themeColor="text1"/>
          <w:sz w:val="24"/>
          <w:highlight w:val="none"/>
          <w:lang w:val="zh-CN"/>
          <w14:textFill>
            <w14:solidFill>
              <w14:schemeClr w14:val="tx1"/>
            </w14:solidFill>
          </w14:textFill>
        </w:rPr>
        <w:t xml:space="preserve">合同签订后</w:t>
      </w:r>
      <w:r>
        <w:rPr>
          <w:rFonts w:hint="eastAsia" w:ascii="宋体" w:hAnsi="宋体" w:cs="宋体"/>
          <w:color w:val="000000" w:themeColor="text1"/>
          <w:sz w:val="24"/>
          <w:highlight w:val="none"/>
          <w:u w:val="single"/>
          <w14:textFill>
            <w14:solidFill>
              <w14:schemeClr w14:val="tx1"/>
            </w14:solidFill>
          </w14:textFill>
        </w:rPr>
        <w:t xml:space="preserve"> 30</w:t>
      </w:r>
      <w:r>
        <w:rPr>
          <w:rFonts w:hint="eastAsia" w:ascii="宋体" w:hAnsi="宋体" w:cs="宋体"/>
          <w:color w:val="000000" w:themeColor="text1"/>
          <w:sz w:val="24"/>
          <w:highlight w:val="none"/>
          <w:lang w:val="zh-CN"/>
          <w14:textFill>
            <w14:solidFill>
              <w14:schemeClr w14:val="tx1"/>
            </w14:solidFill>
          </w14:textFill>
        </w:rPr>
        <w:t xml:space="preserve">日内所有设备安装调试完成</w:t>
      </w:r>
      <w:r>
        <w:rPr>
          <w:rFonts w:hint="eastAsia"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lang w:val="zh-CN"/>
          <w14:textFill>
            <w14:solidFill>
              <w14:schemeClr w14:val="tx1"/>
            </w14:solidFill>
          </w14:textFill>
        </w:rPr>
        <w:t xml:space="preserve">投入使用。</w:t>
      </w:r>
      <w:r>
        <w:rPr>
          <w:rFonts w:hint="eastAsia" w:ascii="宋体" w:hAnsi="宋体" w:cs="宋体"/>
          <w:color w:val="000000" w:themeColor="text1"/>
          <w:sz w:val="24"/>
          <w:highlight w:val="none"/>
          <w14:textFill>
            <w14:solidFill>
              <w14:schemeClr w14:val="tx1"/>
            </w14:solidFill>
          </w14:textFill>
        </w:rPr>
        <w:t xml:space="preserve"> </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1.2交货地点：</w:t>
      </w:r>
      <w:r>
        <w:rPr>
          <w:rFonts w:hint="eastAsia" w:ascii="宋体" w:hAnsi="宋体" w:cs="宋体"/>
          <w:color w:val="000000" w:themeColor="text1"/>
          <w:sz w:val="24"/>
          <w:highlight w:val="none"/>
          <w:lang w:val="zh-CN"/>
          <w14:textFill>
            <w14:solidFill>
              <w14:schemeClr w14:val="tx1"/>
            </w14:solidFill>
          </w14:textFill>
        </w:rPr>
        <w:t xml:space="preserve">苏州市中级人民法院（甲方指定地点）</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2、设备安装须符合国家最新的有关标准和规范。</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3、安装完毕后，中标方应派遣有经验的工程技术人员进行设备的调试及试运行,并负责测试和调试所需的人员、工具、材料、仪器及一切费用，并填写测试报告交由采购单位存档。</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4、中标方应遵守现场的一切规章制度，应自行负责施工现场的安全管理，安全、文明安装和调试；</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5、中标方负责保管、看护进场的设备及附配件；</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6、中标方应对设备及附配件、安装设备（工具）等提供适当的保护、包装或覆盖等处理，以免受损；</w:t>
      </w:r>
      <w:r/>
    </w:p>
    <w:p>
      <w:pPr>
        <w:ind w:firstLine="480"/>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7、无论安装调试期间或保修过程中，中标方负责及时清理垃圾；</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8、中标方承担安装调试期间安装场所的安全以及设备和安装调试人员的安全责任。</w:t>
      </w:r>
      <w:r/>
    </w:p>
    <w:p>
      <w:pPr>
        <w:ind w:left="211" w:firstLine="211"/>
        <w:spacing w:line="360" w:lineRule="auto"/>
        <w:rPr>
          <w:rFonts w:ascii="宋体" w:hAnsi="宋体" w:cs="宋体"/>
          <w:b/>
          <w:color w:val="000000" w:themeColor="text1"/>
          <w:sz w:val="24"/>
          <w:highlight w:val="none"/>
          <w14:textFill>
            <w14:solidFill>
              <w14:schemeClr w14:val="tx1"/>
            </w14:solidFill>
          </w14:textFill>
        </w:rPr>
        <w:outlineLvl w:val="2"/>
      </w:pPr>
      <w:r>
        <w:rPr>
          <w:rFonts w:hint="eastAsia" w:ascii="宋体" w:hAnsi="宋体" w:cs="宋体"/>
          <w:b/>
          <w:color w:val="000000" w:themeColor="text1"/>
          <w:sz w:val="24"/>
          <w:highlight w:val="none"/>
          <w14:textFill>
            <w14:solidFill>
              <w14:schemeClr w14:val="tx1"/>
            </w14:solidFill>
          </w14:textFill>
        </w:rPr>
        <w:t xml:space="preserve">（4）项目实施团队要求</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44" w:name="_Toc3794309"/>
      <w:r>
        <w:rPr>
          <w:rFonts w:hint="eastAsia" w:ascii="宋体" w:hAnsi="宋体" w:cs="宋体"/>
          <w:color w:val="000000" w:themeColor="text1"/>
          <w:sz w:val="24"/>
          <w:highlight w:val="none"/>
          <w14:textFill>
            <w14:solidFill>
              <w14:schemeClr w14:val="tx1"/>
            </w14:solidFill>
          </w14:textFill>
        </w:rPr>
        <w:t xml:space="preserve">为能保证在规定时间内完成项目实施工作，要求供应商针对本项目配备项目团队，具体要求如下：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项目经理（1人），负责跟踪推进项目工作和问题的协调落实；具有相关工作管理经验；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项目技术负责人（1人），负责项目具体技术方面工作，具有相关工作经验；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项目信息安全负责人（1人），负责项目信息安全方面工作，具有相关工作经验；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项目实施负责人（1人），负责项目实施方面工作，具有相关工作经验；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供应商应本着认真负责的态度组织项目团队，响应文件中的项目组主要成员名单，在成交后不经采购人允许不得随意更改。</w:t>
      </w:r>
      <w:bookmarkEnd w:id="44"/>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2"/>
      </w:pPr>
      <w:r>
        <w:rPr>
          <w:rFonts w:hint="eastAsia" w:ascii="宋体" w:hAnsi="宋体" w:cs="宋体"/>
          <w:b/>
          <w:color w:val="000000" w:themeColor="text1"/>
          <w:sz w:val="24"/>
          <w:highlight w:val="none"/>
          <w14:textFill>
            <w14:solidFill>
              <w14:schemeClr w14:val="tx1"/>
            </w14:solidFill>
          </w14:textFill>
        </w:rPr>
        <w:t xml:space="preserve">（5）其他要求 </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1、质量保证期：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本项目免费质量保证期要求不低于三年。免费质量保证期从货物供货、安装、调试正常且经采购方最终确认验收合格之日起算。</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2、售后服务要求</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2.1在质保期内，本合同项目所有技术和服务发生任何非人为故障，根据采购人报障的故障级别，供应商采取必要的服务措施（包括调整），尽快修复故障，恢复系统的正常运行。</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疑难问题（不危及运行）在24小时内答复用户。</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重大问题（危及运行）在2小时内到现场处理或通过网络远程处理。</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特大问题（系统不能正常运行）在2小时内恢复系统运行，并在24小时内派技术人员到现场解决。</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2.2中标单位需提供定期回访服务，对采购人提出的合理优化建议应提供免费升级服务。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（3）所有的服务方式均为中标单位上门保修，即由中标单位派员到使用现场进行故障恢复，由此产生的一切费用均由中标单位承担。</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3、培训要求</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3.1中标单位提供完整的用户培训方案。</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3.2培训内容包括系统原理和故障检测等综合内容，以实际操作培训为主，确保培训人员能熟练地使用这些知识和技巧安全规范地操作。</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3.3中标单位选派具有一定资质和实践经验，且受过专门训练的专业技术人员负责技术培训工作。</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4、运维服务要求</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4.1电话技术支持服务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设立7*24小时的技术支持热线，保证采购人获得日常维护的技术支持，保证采购人关于设备的技术性问题得到及时、有效的解答。</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4.2巡检服务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为采购人此次维护保修服务范围内的设备进行定期检查，及时发现运行中存在的隐患，减少设备发生故障的概率，保证系统稳定、高效运行。</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4.3重点保障服务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遇到活动或重大事件需要提供重点保障时，中标单位根据采购人提出的重点保障服务要求，与采购人共同制定重点保障期间的保障方案。</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5、资料保密要求</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由于上述资料属保密资料，使用方必须承担保密责任，内容包括：</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5.1使用方应严格按照国家保密法规定的要求，采取有效措施，严防泄密，并承担相应法律责任。</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5.2项目运行维护涉及的资料要制定专人保管，采取有效的保密措施，严防泄密。</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5.3使用方可根据需要对资料进行数据处理和格式转换，但未经提供方许可，不得将处理、转换后的数据对外发布和提供。</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5.4使用方不得将项目运行维护涉及的资料复制、转借、转让、传播、出版、翻译成外语等。</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5.5使用方对项目运行维护涉及的资料的使用违反国家法律法规或政府机关的决定，其使用权即无条件终止。</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5.6使用方应在资料使用后及时将资料归还给提供方。</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6、验收要求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根据投标文件要求、中标单位承诺及有关规定，由采购人按照中标单位的响应文件及有关规定进行验收，相关验收费用由中标单位承担，并在报价时综合考虑。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根据采购文件规定的内容和验收标准进行验收，必要时可委托具有法定资质的第三方验收，同时比较中标方出具的检验证明，经检验无误后出具验收合格证明，该证明作为验收结果，并作为付款所需文件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二、综合说明及其它要求：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（一）投标人所投产品应能够至少达到以上技术参数要求，同时必须明确所投产品的品牌、规格及一些必须说明的技术参数等，否则将可能导致其投标文件被评标委员会拒绝。</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（二）投标人必须承诺招标文件中提出的全部技术规格与要求，如果其中某些条款不响应时，应在文件中逐条列出，未列出的视同响应。</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投标总报价一次报定，包含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4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（五）投标单位须为本项目配备的所有人员在项目服务期内出现的工伤及其他意外事故，均由投标单位自行负责，采购人不承担任何责任。</w:t>
      </w:r>
      <w:r/>
    </w:p>
    <w:p>
      <w:pPr>
        <w:ind w:left="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（六）付款方式：</w:t>
      </w:r>
      <w:r/>
    </w:p>
    <w:p>
      <w:pPr>
        <w:ind w:left="42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待项目安装完成后，经甲方验收合格后，一次性支付合同款。</w:t>
      </w:r>
      <w:r/>
    </w:p>
    <w:p>
      <w:pPr>
        <w:ind w:firstLine="42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在签订合同时，乙方明确表示无需预付款或者主动要求降低预付款比例的，甲方可不适用上述关于预付款的规定。</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rPr>
          <w:rFonts w:hint="eastAsia" w:ascii="宋体" w:hAnsi="宋体" w:cs="宋体"/>
          <w:color w:val="000000" w:themeColor="text1"/>
          <w:sz w:val="24"/>
          <w:highlight w:val="none"/>
          <w:lang w:val="zh-CN"/>
          <w14:textFill>
            <w14:solidFill>
              <w14:schemeClr w14:val="tx1"/>
            </w14:solidFill>
          </w14:textFill>
        </w:rPr>
        <w:t xml:space="preserve">施工现场要求：</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1、中标人</w:t>
      </w:r>
      <w:r>
        <w:rPr>
          <w:rFonts w:hint="eastAsia" w:ascii="宋体" w:hAnsi="宋体" w:cs="宋体"/>
          <w:color w:val="000000" w:themeColor="text1"/>
          <w:sz w:val="24"/>
          <w:highlight w:val="none"/>
          <w:lang w:val="zh-CN"/>
          <w14:textFill>
            <w14:solidFill>
              <w14:schemeClr w14:val="tx1"/>
            </w14:solidFill>
          </w14:textFill>
        </w:rPr>
        <w:t xml:space="preserve">应遵守现场的一切规章制度，按照甲方要求文明施工，施工人员的安全由乙方负责，甲方免责；</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施工现场的协调工作由</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负责，甲方配合；</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3、中标人</w:t>
      </w:r>
      <w:r>
        <w:rPr>
          <w:rFonts w:hint="eastAsia" w:ascii="宋体" w:hAnsi="宋体" w:cs="宋体"/>
          <w:color w:val="000000" w:themeColor="text1"/>
          <w:sz w:val="24"/>
          <w:highlight w:val="none"/>
          <w:lang w:val="zh-CN"/>
          <w14:textFill>
            <w14:solidFill>
              <w14:schemeClr w14:val="tx1"/>
            </w14:solidFill>
          </w14:textFill>
        </w:rPr>
        <w:t xml:space="preserve">负责设备、安装设备（工具）等提供适当的保护、包装或覆盖等处理，负责保管、看护进场的设备及附配件直至验收合格，以免受损；</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在安装、调试期间或保修过程中，</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负责及时清理现场垃圾；</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zh-CN"/>
          <w14:textFill>
            <w14:solidFill>
              <w14:schemeClr w14:val="tx1"/>
            </w14:solidFill>
          </w14:textFill>
        </w:rPr>
        <w:t xml:space="preserve">在安装、调试期间或保修过程中，对现场原有成品造成的损坏，由</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负责修</w:t>
      </w:r>
      <w:r>
        <w:rPr>
          <w:rFonts w:hint="eastAsia" w:ascii="宋体" w:hAnsi="宋体" w:cs="宋体"/>
          <w:color w:val="000000" w:themeColor="text1"/>
          <w:sz w:val="24"/>
          <w:highlight w:val="none"/>
          <w14:textFill>
            <w14:solidFill>
              <w14:schemeClr w14:val="tx1"/>
            </w14:solidFill>
          </w14:textFill>
        </w:rPr>
        <w:t xml:space="preserve">复。</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（八）验收要求：</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验收标准：中标人提供的货物必须符合符合国家及行业最新颁布的与之相关的技术规范与标准，同时必须满足招标文件中所列规格、具体配置、技术条件及功能要求和中标人承诺的其它指标。投标单位应向采购单位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2、投标人应在投标文件中提供一份验收大纲，中标后在采购人确认后作为采购人验收的依据。但此标准不得对抗质监部门的验收和招标文件中有关验收的条款要求；</w:t>
      </w:r>
      <w:r/>
    </w:p>
    <w:p>
      <w:pPr>
        <w:pStyle w:val="841"/>
        <w:ind w:left="0" w:firstLine="440"/>
        <w:jc w:val="left"/>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（九）凡涉及招标文件的补充说明和修改，均以苏州政府采购网发布通知为准。</w:t>
      </w:r>
      <w:r/>
    </w:p>
    <w:p>
      <w:pPr>
        <w:spacing w:line="360" w:lineRule="auto"/>
        <w:rPr>
          <w:rFonts w:ascii="宋体" w:hAnsi="宋体" w:cs="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themeColor="text1"/>
          <w:sz w:val="24"/>
          <w:highlight w:val="none"/>
          <w14:textFill>
            <w14:solidFill>
              <w14:schemeClr w14:val="tx1"/>
            </w14:solidFill>
          </w14:textFill>
        </w:rPr>
      </w:r>
      <w:r/>
    </w:p>
    <w:p>
      <w:pPr>
        <w:pStyle w:val="83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27"/>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合同条款</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地址：</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联系人：</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联系方式：</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乙方：</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地址：</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联系人：</w:t>
      </w:r>
      <w:r/>
    </w:p>
    <w:p>
      <w:pPr>
        <w:pStyle w:val="832"/>
        <w:ind w:firstLine="44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联系方式：</w:t>
      </w:r>
      <w:r/>
    </w:p>
    <w:p>
      <w:pPr>
        <w:ind w:firstLine="425"/>
        <w:spacing w:before="354"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w:t>
      </w:r>
      <w:r>
        <w:rPr>
          <w:rFonts w:hint="eastAsia" w:ascii="宋体" w:hAnsi="宋体" w:cs="宋体"/>
          <w:color w:val="000000" w:themeColor="text1"/>
          <w:sz w:val="24"/>
          <w:highlight w:val="none"/>
          <w14:textFill>
            <w14:solidFill>
              <w14:schemeClr w14:val="tx1"/>
            </w14:solidFill>
          </w14:textFill>
        </w:rPr>
        <w:t xml:space="preserve">中华人民共和国民法典</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以及</w:t>
      </w:r>
      <w:r>
        <w:rPr>
          <w:rFonts w:hint="eastAsia" w:ascii="宋体" w:hAnsi="宋体" w:cs="宋体"/>
          <w:color w:val="000000" w:themeColor="text1"/>
          <w:sz w:val="24"/>
          <w:highlight w:val="none"/>
          <w:lang w:val="zh-CN"/>
          <w14:textFill>
            <w14:solidFill>
              <w14:schemeClr w14:val="tx1"/>
            </w14:solidFill>
          </w14:textFill>
        </w:rPr>
        <w:t xml:space="preserve">苏州市政府采购招标编号</w:t>
      </w:r>
      <w:r>
        <w:rPr>
          <w:rFonts w:hint="eastAsia" w:ascii="宋体" w:hAnsi="宋体" w:cs="宋体"/>
          <w:color w:val="000000" w:themeColor="text1"/>
          <w:sz w:val="24"/>
          <w:highlight w:val="none"/>
          <w:u w:val="single"/>
          <w14:textFill>
            <w14:solidFill>
              <w14:schemeClr w14:val="tx1"/>
            </w14:solidFill>
          </w14:textFill>
        </w:rPr>
        <w:t xml:space="preserve">          号</w:t>
      </w:r>
      <w:r>
        <w:rPr>
          <w:rFonts w:hint="eastAsia" w:ascii="宋体" w:hAnsi="宋体" w:cs="宋体"/>
          <w:color w:val="000000" w:themeColor="text1"/>
          <w:sz w:val="24"/>
          <w:highlight w:val="none"/>
          <w:lang w:val="zh-CN"/>
          <w14:textFill>
            <w14:solidFill>
              <w14:schemeClr w14:val="tx1"/>
            </w14:solidFill>
          </w14:textFill>
        </w:rPr>
        <w:t xml:space="preserve">招标文件及乙方中标的投标文件和中标通知书，甲乙双方就此次中标的</w:t>
      </w:r>
      <w:r>
        <w:rPr>
          <w:rFonts w:hint="eastAsia" w:ascii="宋体" w:hAnsi="宋体" w:cs="宋体"/>
          <w:color w:val="000000" w:themeColor="text1"/>
          <w:sz w:val="24"/>
          <w:highlight w:val="none"/>
          <w:u w:val="single"/>
          <w14:textFill>
            <w14:solidFill>
              <w14:schemeClr w14:val="tx1"/>
            </w14:solidFill>
          </w14:textFill>
        </w:rPr>
        <w:t xml:space="preserve">苏州市中级人民法院灾备云扩容</w:t>
      </w:r>
      <w:r>
        <w:rPr>
          <w:rFonts w:hint="eastAsia" w:ascii="宋体" w:hAnsi="宋体" w:cs="宋体"/>
          <w:color w:val="000000" w:themeColor="text1"/>
          <w:sz w:val="24"/>
          <w:highlight w:val="none"/>
          <w:lang w:val="zh-CN"/>
          <w14:textFill>
            <w14:solidFill>
              <w14:schemeClr w14:val="tx1"/>
            </w14:solidFill>
          </w14:textFill>
        </w:rPr>
        <w:t xml:space="preserve">事宜，签订本合同书，</w:t>
      </w:r>
      <w:r>
        <w:rPr>
          <w:rFonts w:hint="eastAsia" w:ascii="宋体" w:hAnsi="宋体" w:cs="宋体"/>
          <w:color w:val="000000" w:themeColor="text1"/>
          <w:sz w:val="24"/>
          <w:highlight w:val="none"/>
          <w14:textFill>
            <w14:solidFill>
              <w14:schemeClr w14:val="tx1"/>
            </w14:solidFill>
          </w14:textFill>
        </w:rPr>
        <w:t xml:space="preserve">以资共同遵守</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一、合同内容：</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、乙方负责完成甲方的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，详见《标的物清单》。</w:t>
      </w:r>
      <w:r/>
    </w:p>
    <w:p>
      <w:pPr>
        <w:ind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、下列文件为本合同不可分割部分：</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①招标文件；</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②乙方中标的投标书；</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③乙方在招投标过程中所作的其他承诺、声明、书面澄清等；</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④中标通知书。</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二、合同金额</w:t>
      </w:r>
      <w:r>
        <w:rPr>
          <w:rFonts w:hint="eastAsia" w:ascii="宋体" w:hAnsi="宋体" w:cs="宋体"/>
          <w:b/>
          <w:bCs/>
          <w:color w:val="000000" w:themeColor="text1"/>
          <w:sz w:val="24"/>
          <w:highlight w:val="none"/>
          <w14:textFill>
            <w14:solidFill>
              <w14:schemeClr w14:val="tx1"/>
            </w14:solidFill>
          </w14:textFill>
        </w:rPr>
        <w:t xml:space="preserve">与支付：</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（一）本次报价以人民币报价；</w:t>
      </w:r>
      <w:r/>
    </w:p>
    <w:p>
      <w:pPr>
        <w:pStyle w:val="841"/>
        <w:ind w:left="0" w:firstLine="440"/>
        <w:spacing w:after="0"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（二）合同总金额：人民币 </w:t>
      </w:r>
      <w:r>
        <w:rPr>
          <w:rFonts w:hint="eastAsia" w:ascii="宋体" w:hAnsi="宋体" w:cs="宋体"/>
          <w:color w:val="000000" w:themeColor="text1"/>
          <w:sz w:val="24"/>
          <w:highlight w:val="none"/>
          <w:u w:val="single"/>
          <w14:textFill>
            <w14:solidFill>
              <w14:schemeClr w14:val="tx1"/>
            </w14:solidFill>
          </w14:textFill>
        </w:rPr>
        <w:t xml:space="preserve">    （大写）      （小写：      ）</w:t>
      </w:r>
      <w:r>
        <w:rPr>
          <w:rFonts w:hint="eastAsia" w:ascii="宋体" w:hAnsi="宋体" w:cs="宋体"/>
          <w:color w:val="000000" w:themeColor="text1"/>
          <w:sz w:val="24"/>
          <w:highlight w:val="none"/>
          <w14:textFill>
            <w14:solidFill>
              <w14:schemeClr w14:val="tx1"/>
            </w14:solidFill>
          </w14:textFill>
        </w:rPr>
        <w:t xml:space="preserve">，合同总金额为安装目的地价，全部货物和服务、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四</w:t>
      </w:r>
      <w:r>
        <w:rPr>
          <w:rFonts w:hint="eastAsia" w:ascii="宋体" w:hAnsi="宋体" w:cs="宋体"/>
          <w:color w:val="000000" w:themeColor="text1"/>
          <w:sz w:val="24"/>
          <w:highlight w:val="none"/>
          <w:lang w:val="zh-CN"/>
          <w14:textFill>
            <w14:solidFill>
              <w14:schemeClr w14:val="tx1"/>
            </w14:solidFill>
          </w14:textFill>
        </w:rPr>
        <w:t xml:space="preserve">）支付方式：银行转账。</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乙方银行账户信息如下：</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开户行： </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账户名： </w:t>
      </w:r>
      <w:r/>
    </w:p>
    <w:p>
      <w:pPr>
        <w:pStyle w:val="841"/>
        <w:ind w:left="0" w:firstLine="550"/>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账  号：</w:t>
      </w:r>
      <w:r/>
    </w:p>
    <w:p>
      <w:pPr>
        <w:numPr>
          <w:ilvl w:val="0"/>
          <w:numId w:val="11"/>
        </w:numPr>
        <w:ind w:firstLine="42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付款步骤：</w:t>
      </w:r>
      <w:r/>
    </w:p>
    <w:p>
      <w:pPr>
        <w:ind w:left="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（1）待项目安装完成，经甲方验收合格后，一次性全额支付合同款。</w:t>
      </w:r>
      <w:r/>
    </w:p>
    <w:p>
      <w:pPr>
        <w:ind w:firstLine="420"/>
        <w:spacing w:line="360" w:lineRule="auto"/>
        <w:rPr>
          <w:rStyle w:val="855"/>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在签订合同时，乙方明确表示无需预付款或者主动要求降低预付款比例的，甲方可不适用上述关于预付款的规定。</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rPr>
          <w:rFonts w:hint="eastAsia" w:ascii="宋体" w:hAnsi="宋体" w:cs="宋体"/>
          <w:color w:val="000000" w:themeColor="text1"/>
          <w:sz w:val="24"/>
          <w:highlight w:val="none"/>
          <w:lang w:val="zh-CN"/>
          <w14:textFill>
            <w14:solidFill>
              <w14:schemeClr w14:val="tx1"/>
            </w14:solidFill>
          </w14:textFill>
        </w:rPr>
        <w:t xml:space="preserve">付款凭据：</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A、合格的销售发票</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B、由甲乙双方及招标代理机构签章的《政府采购合同履行验收报告》</w:t>
      </w:r>
      <w:r/>
    </w:p>
    <w:p>
      <w:pPr>
        <w:pStyle w:val="850"/>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七）政府采购合同履行中，甲方需追加与合同标的物相同的货物、工程或者服务的，在不改变合同其他条款的前提下，可以与乙方签订补充合同，但所有补充合同的采购金额不得超过原合同采购金额的百分之十。</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三、交货期限、地点：</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1、交货期限：</w:t>
      </w:r>
      <w:r>
        <w:rPr>
          <w:rFonts w:hint="eastAsia" w:ascii="宋体" w:hAnsi="宋体" w:cs="宋体"/>
          <w:color w:val="000000" w:themeColor="text1"/>
          <w:sz w:val="24"/>
          <w:highlight w:val="none"/>
          <w:lang w:val="zh-CN"/>
          <w14:textFill>
            <w14:solidFill>
              <w14:schemeClr w14:val="tx1"/>
            </w14:solidFill>
          </w14:textFill>
        </w:rPr>
        <w:t xml:space="preserve">合同签订后</w:t>
      </w:r>
      <w:r>
        <w:rPr>
          <w:rFonts w:hint="eastAsia" w:ascii="宋体" w:hAnsi="宋体" w:cs="宋体"/>
          <w:color w:val="000000" w:themeColor="text1"/>
          <w:sz w:val="24"/>
          <w:highlight w:val="none"/>
          <w:u w:val="single"/>
          <w14:textFill>
            <w14:solidFill>
              <w14:schemeClr w14:val="tx1"/>
            </w14:solidFill>
          </w14:textFill>
        </w:rPr>
        <w:t xml:space="preserve"> 30</w:t>
      </w:r>
      <w:r>
        <w:rPr>
          <w:rFonts w:hint="eastAsia" w:ascii="宋体" w:hAnsi="宋体" w:cs="宋体"/>
          <w:color w:val="000000" w:themeColor="text1"/>
          <w:sz w:val="24"/>
          <w:highlight w:val="none"/>
          <w:lang w:val="zh-CN"/>
          <w14:textFill>
            <w14:solidFill>
              <w14:schemeClr w14:val="tx1"/>
            </w14:solidFill>
          </w14:textFill>
        </w:rPr>
        <w:t xml:space="preserve">日内所有设备安装调试完成</w:t>
      </w:r>
      <w:r>
        <w:rPr>
          <w:rFonts w:hint="eastAsia" w:ascii="宋体" w:hAnsi="宋体" w:cs="宋体"/>
          <w:color w:val="000000" w:themeColor="text1"/>
          <w:sz w:val="24"/>
          <w:highlight w:val="none"/>
          <w14:textFill>
            <w14:solidFill>
              <w14:schemeClr w14:val="tx1"/>
            </w14:solidFill>
          </w14:textFill>
        </w:rPr>
        <w:t xml:space="preserve">并</w:t>
      </w:r>
      <w:r>
        <w:rPr>
          <w:rFonts w:hint="eastAsia" w:ascii="宋体" w:hAnsi="宋体" w:cs="宋体"/>
          <w:color w:val="000000" w:themeColor="text1"/>
          <w:sz w:val="24"/>
          <w:highlight w:val="none"/>
          <w:lang w:val="zh-CN"/>
          <w14:textFill>
            <w14:solidFill>
              <w14:schemeClr w14:val="tx1"/>
            </w14:solidFill>
          </w14:textFill>
        </w:rPr>
        <w:t xml:space="preserve">投入使用。</w:t>
      </w:r>
      <w:r>
        <w:rPr>
          <w:rFonts w:hint="eastAsia" w:ascii="宋体" w:hAnsi="宋体" w:cs="宋体"/>
          <w:color w:val="000000" w:themeColor="text1"/>
          <w:sz w:val="24"/>
          <w:highlight w:val="none"/>
          <w14:textFill>
            <w14:solidFill>
              <w14:schemeClr w14:val="tx1"/>
            </w14:solidFill>
          </w14:textFill>
        </w:rPr>
        <w:t xml:space="preserve"> </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2、交货地点：</w:t>
      </w:r>
      <w:r>
        <w:rPr>
          <w:rFonts w:hint="eastAsia" w:ascii="宋体" w:hAnsi="宋体" w:cs="宋体"/>
          <w:color w:val="000000" w:themeColor="text1"/>
          <w:sz w:val="24"/>
          <w:highlight w:val="none"/>
          <w:lang w:val="zh-CN"/>
          <w14:textFill>
            <w14:solidFill>
              <w14:schemeClr w14:val="tx1"/>
            </w14:solidFill>
          </w14:textFill>
        </w:rPr>
        <w:t xml:space="preserve">苏州市中级人民法院（甲方指定地点）</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标的物的交付</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1.本项目标的物的所有权自标的物由乙方交付</w:t>
      </w:r>
      <w:r>
        <w:rPr>
          <w:rFonts w:hint="eastAsia" w:ascii="宋体" w:hAnsi="宋体" w:cs="宋体"/>
          <w:color w:val="000000" w:themeColor="text1"/>
          <w:sz w:val="24"/>
          <w:highlight w:val="none"/>
          <w:lang w:val="zh-CN"/>
          <w14:textFill>
            <w14:solidFill>
              <w14:schemeClr w14:val="tx1"/>
            </w14:solidFill>
          </w14:textFill>
        </w:rPr>
        <w:t xml:space="preserve">至</w:t>
      </w:r>
      <w:r>
        <w:rPr>
          <w:rFonts w:hint="eastAsia" w:ascii="宋体" w:hAnsi="宋体" w:cs="宋体"/>
          <w:color w:val="000000" w:themeColor="text1"/>
          <w:sz w:val="24"/>
          <w:highlight w:val="none"/>
          <w14:textFill>
            <w14:solidFill>
              <w14:schemeClr w14:val="tx1"/>
            </w14:solidFill>
          </w14:textFill>
        </w:rPr>
        <w:t xml:space="preserve">甲方并经甲方验收合格时转移。</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2.乙方应当按照约定的期限和约定的地点交付标的物。</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3.乙方应当按照约定或者交易习惯向甲方交付提取标的物单证以外的有关单证和资料。</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4.运输、保险和装卸的费用由乙方承担。标的物在交付甲方并通过验收合格前，其灭失、损毁的风险由乙方承担。</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五、伴随服务</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1.乙方除应履行按期按量交付合格标的物的义务外，还应当提供下列服务：</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1.1标的物的现场安装、启动、调试、监督（如果必须安装、调试的话）；</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1.2提供标的物组装和一般维修所必需的工具；</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1.3在合同规定的期限内对所提供的标的物实行运行监督、维修服务的前提条件是该服务并不能免除乙方在质量保证期内所承担的义务；</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1.4对甲方技术人员的技术指导或培训。</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2.除合同另有规定之外，伴随服务的费用均已含在本合同总价款中，甲方不再另行支付。</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六、标的物的检验及验收</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在交货前，乙方应对标的物的质量、规格、性能、数量、外观、随机备件备品、装箱单、随机资料、包装等进行详细而全面的检验，并出具一份检验合格证明，检验合格证明仅作为甲方验收的依据，但不能作为有关标的物质量、规格、数量或性能的最终检验结果。</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2.甲方根据合同规定的内容和验收标准进行验收，同时比较乙方出具的检验证明，经检验无误后出具验收合格证明，该证明作为最终付款所需文件的组成部分。</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3.验收期限：自产品安装调试完毕之日起</w:t>
      </w:r>
      <w:r>
        <w:rPr>
          <w:rFonts w:hint="eastAsia" w:ascii="宋体" w:hAnsi="宋体" w:cs="宋体"/>
          <w:color w:val="000000" w:themeColor="text1"/>
          <w:sz w:val="24"/>
          <w:highlight w:val="none"/>
          <w:u w:val="single"/>
          <w14:textFill>
            <w14:solidFill>
              <w14:schemeClr w14:val="tx1"/>
            </w14:solidFill>
          </w14:textFill>
        </w:rPr>
        <w:t xml:space="preserve"> 30 </w:t>
      </w:r>
      <w:r>
        <w:rPr>
          <w:rFonts w:hint="eastAsia" w:ascii="宋体" w:hAnsi="宋体" w:cs="宋体"/>
          <w:color w:val="000000" w:themeColor="text1"/>
          <w:sz w:val="24"/>
          <w:highlight w:val="none"/>
          <w14:textFill>
            <w14:solidFill>
              <w14:schemeClr w14:val="tx1"/>
            </w14:solidFill>
          </w14:textFill>
        </w:rPr>
        <w:t xml:space="preserve">日内，如有特殊情况，双方另行协调。</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4.如双方对验收结果有分歧，则以苏州市市场监督管理局的检验结果为准，检验费由乙方支付。</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5.乙方投标文件中提出的其他验收方案。</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6.验收标准：中标人提供的货物必须符合国家及行业最新颁布的与之相关的技术规范与标准，同时必须满足招标文件中所列规格、具体配置、技术条件及功能要求和中标人承诺的其它指标。乙方应向甲方提供详细的验收标准、验收手册。当双方对验收标准有争议时，可委托双方一致认可的国家相关权威检测中心进行检测，费用由投标单位承担，只有在设备完全正常运转和采购单位确认后，设备的安装工作才能认为已全部完成。</w:t>
      </w:r>
      <w:r/>
    </w:p>
    <w:p>
      <w:pPr>
        <w:ind w:firstLine="440"/>
        <w:spacing w:line="360" w:lineRule="auto"/>
        <w:widowControl/>
        <w:rPr>
          <w:rFonts w:ascii="宋体" w:hAnsi="宋体" w:cs="宋体"/>
          <w:color w:val="000000" w:themeColor="text1"/>
          <w:sz w:val="24"/>
          <w:highlight w:val="none"/>
          <w:lang w:val="zh-CN"/>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7.验收依据：</w:t>
      </w:r>
      <w:r>
        <w:rPr>
          <w:rFonts w:hint="eastAsia" w:ascii="宋体" w:hAnsi="宋体" w:cs="宋体"/>
          <w:color w:val="000000" w:themeColor="text1"/>
          <w:sz w:val="24"/>
          <w:highlight w:val="none"/>
          <w:lang w:val="zh-CN"/>
          <w14:textFill>
            <w14:solidFill>
              <w14:schemeClr w14:val="tx1"/>
            </w14:solidFill>
          </w14:textFill>
        </w:rPr>
        <w:t xml:space="preserve">乙方应在投标文件中提供一份工程验收大纲，中标后在甲方确认后作为甲方验收的依据。但此标准不得对抗质监部门的验收和招标文件中有关验收的条款要求；</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七、标的物提出异议的时间和办法</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甲方在验收过程中，应当于双方约定的检验期间内将标的物的数量或质量不符合约定的情况及处理方式以书面方式通知乙方。若标的物存在甲方无法检验的质量问题，则对该标的物的检验不受验收期间的限制，但甲方应在发现质量问题后及时提出。</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shd w:val="clear" w:color="ffffff" w:fill="auto"/>
          <w:lang w:val="zh-CN"/>
          <w14:textFill>
            <w14:solidFill>
              <w14:schemeClr w14:val="tx1"/>
            </w14:solidFill>
          </w14:textFill>
        </w:rPr>
        <w:t xml:space="preserve">如甲方在验收期满后既不出具验收合格证明又未提出书面异议的，乙方应当自验收期满后三日内对甲方进行催告，经乙方催告后甲方在五日内仍未作出答复的，视为乙方所交标的物符合合同规定。</w:t>
      </w:r>
      <w:r/>
    </w:p>
    <w:p>
      <w:pPr>
        <w:ind w:firstLine="440"/>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shd w:val="clear" w:color="ffffff" w:fill="auto"/>
          <w14:textFill>
            <w14:solidFill>
              <w14:schemeClr w14:val="tx1"/>
            </w14:solidFill>
          </w14:textFill>
        </w:rPr>
        <w:t xml:space="preserve">乙方应在收到甲方书面异议后七天内负责解决问题，否则将视为乙方默认甲方提出的异议和处理意见。</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八、质量要求</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p>
    <w:p>
      <w:pPr>
        <w:pStyle w:val="840"/>
        <w:jc w:val="left"/>
        <w:spacing w:line="360" w:lineRule="auto"/>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九、安装、调试、售后服务及施工现场要求：</w:t>
      </w:r>
      <w:r/>
    </w:p>
    <w:p>
      <w:pPr>
        <w:pStyle w:val="840"/>
        <w:ind w:firstLine="442"/>
        <w:jc w:val="left"/>
        <w:spacing w:line="360" w:lineRule="auto"/>
        <w:rPr>
          <w:rFonts w:cs="宋体"/>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（一）安装、调试：</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在货物到达采购方指定地点后，乙方应在7天内派技术人员到达现场，提供安装、调试等服务，并协助采购方组织验收。</w:t>
      </w:r>
      <w:r/>
    </w:p>
    <w:p>
      <w:pPr>
        <w:ind w:firstLine="442"/>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（二）售后服务</w:t>
      </w:r>
      <w:r/>
    </w:p>
    <w:p>
      <w:pPr>
        <w:ind w:firstLine="431"/>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（1）设备免费质保期为验收合格签字之日起</w:t>
      </w:r>
      <w:r>
        <w:rPr>
          <w:rFonts w:hint="eastAsia" w:ascii="宋体" w:hAnsi="宋体" w:cs="宋体"/>
          <w:color w:val="000000" w:themeColor="text1"/>
          <w:sz w:val="24"/>
          <w:highlight w:val="none"/>
          <w:u w:val="single"/>
          <w14:textFill>
            <w14:solidFill>
              <w14:schemeClr w14:val="tx1"/>
            </w14:solidFill>
          </w14:textFill>
        </w:rPr>
        <w:t xml:space="preserve"> 不少于3 </w:t>
      </w:r>
      <w:r>
        <w:rPr>
          <w:rFonts w:hint="eastAsia" w:ascii="宋体" w:hAnsi="宋体" w:cs="宋体"/>
          <w:color w:val="000000" w:themeColor="text1"/>
          <w:sz w:val="24"/>
          <w:highlight w:val="none"/>
          <w14:textFill>
            <w14:solidFill>
              <w14:schemeClr w14:val="tx1"/>
            </w14:solidFill>
          </w14:textFill>
        </w:rPr>
        <w:t xml:space="preserve">年</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（2）在质保期内，本合同项目所有技术和服务发生任何非人为故障，根据甲方报障的故障级别，乙方采取必要的服务措施（包括调整），尽快修复故障，恢复系统的正常运行。</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疑难问题（不危及运行）在24小时内答复用户。</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重大问题（危及运行）在2小时内到现场处理或通过网络远程处理。</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特大问题（系统不能正常运行）在2小时内恢复系统运行，并在24小时内派技术人员到现场解决。</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（3）乙方需提供定期回访服务，对甲方提出的合理优化建议应提供免费升级服务。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（3）所有的服务方式均为乙方上门保修，即由乙方派员到使用现场进行故障恢复，由此产生的一切费用均由乙方承担。</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（三）培训要求</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（1）乙方提供完整的用户培训方案。</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（2）培训内容包括系统原理和故障检测等综合内容，以实际操作培训为主，确保培训人员能熟练地使用这些知识和技巧安全规范地操作。</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（3）乙方选派具有一定资质和实践经验，且受过专门训练的专业技术人员负责技术培训工作。</w:t>
      </w:r>
      <w:r/>
    </w:p>
    <w:p>
      <w:pPr>
        <w:pStyle w:val="663"/>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（四）运维服务要求</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（1）电话技术支持服务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设立7*24小时的技术支持热线，保证甲方获得日常维护的技术支持，保证甲方关于设备的技术性问题得到及时、有效的解答。</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（2）巡检服务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为甲方此次维护保修服务范围内的设备进行定期检查，及时发现运行中存在的隐患，减少设备发生故障的概率，保证系统稳定、高效运行。</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（3）重点保障服务</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遇到活动或重大事件需要提供重点保障时，乙方根据甲方提出的重点保障服务要求，与甲方共同制定重点保障期间的保障方案。</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（五）资料保密要求</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由于上述资料属保密资料，使用方必须承担保密责任，内容包括：</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（1）使用方应严格按照国家保密法规定的要求，采取有效措施，严防泄密，并承担相应法律责任。</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（2）项目运行维护涉及的资料要制定专人保管，采取有效的保密措施，严防泄密。</w:t>
      </w:r>
      <w:r/>
    </w:p>
    <w:p>
      <w:pPr>
        <w:ind w:firstLine="480"/>
        <w:spacing w:line="360" w:lineRule="auto"/>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（3）使用方可根据需要对资料进行数据处理和格式转换，但未经提供方许可，不得将处理、转换后的数据对外发布和提供。</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（4）使用方不得将项目运行维护涉及的资料复制、转借、转让、传播、出版、翻译成外语等。</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（5）使用方对项目运行维护涉及的资料的使用违反国家法律法规或政府机关的决定，其使用权即无条件终止。</w:t>
      </w:r>
      <w:r/>
    </w:p>
    <w:p>
      <w:pPr>
        <w:pStyle w:val="66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（6）使用方应在资料使用后及时将资料归还给提供方。</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（5）按采购文件及响应文件中的承诺执行。</w:t>
      </w:r>
      <w:r/>
    </w:p>
    <w:p>
      <w:pPr>
        <w:ind w:firstLine="442"/>
        <w:jc w:val="left"/>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CN"/>
          <w14:textFill>
            <w14:solidFill>
              <w14:schemeClr w14:val="tx1"/>
            </w14:solidFill>
          </w14:textFill>
        </w:rPr>
        <w:t xml:space="preserve">施工现场要求：</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（1）乙方应遵守现场的一切规章制度，按照甲方要求文明施工，施工人员的安全由乙方负责，甲方免责；</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（2）施工现场的协调工作由乙方负责，甲方配合；</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（3）乙方负责设备、安装设备（工具）等提供适当的保护、包装或覆盖等处理，负责保管、看护进场的设备及附配件直至验收合格，以免受损；</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（4）在安装、调试期间或保修过程中，乙方负责及时清理现场垃圾；</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（5）在安装、调试期间或保修过程中，对现场原有成品造成的损坏，由乙方负责修</w:t>
      </w:r>
      <w:r>
        <w:rPr>
          <w:rFonts w:hint="eastAsia" w:ascii="宋体" w:hAnsi="宋体" w:cs="宋体"/>
          <w:color w:val="000000" w:themeColor="text1"/>
          <w:sz w:val="24"/>
          <w:highlight w:val="none"/>
          <w14:textFill>
            <w14:solidFill>
              <w14:schemeClr w14:val="tx1"/>
            </w14:solidFill>
          </w14:textFill>
        </w:rPr>
        <w:t xml:space="preserve">复。</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十、违约责任：</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1.履约延误</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1.1乙方应按照合同规定的时间、地点交货和提供服务；甲方应按照合同规定的时间、地点接收货物和接受服务。</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1.2如果乙方无正当理由拖延交货，应承担以下违约责任：加收误期违约金、甲方有权终止合同；如果甲方无正当理由拖延接收货物和接受服务，应承担相应责任。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2.误期赔偿</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2.1除合同规定外，如果乙方没有按照合同规定的时间交货和提供服务，或因运输及安装中货物缺损需要更换而影响实际交付使用时，乙方应向甲方支付误期违约金；误期违约金具体标准按合同总价款每日万分之四计算。给甲方造成损失的，乙方应赔偿甲方一切直接、间接损失。</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2.2乙方延期交货时间超过十五天或交货不合格从而影响甲方按期正常使用的，视为乙方严重违约，甲方有权立即终止合同并要求乙方支付本合同总价款20%的误期违约金，若由此造成甲方损失的，乙方还应赔偿甲方一切直接、间接损失，合同终止后，乙方应返还甲方已支付的合同款。</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2.3乙方按约履行合同后，甲方在收到乙方的付款通知并审定无误后按照合同约定的期限进行付款，甲方逾期支付合同价款的，应按合同总价款每日万分之四支付误期违约金，但甲方支付的该项费用总额不超过合同总价款的5%。</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3.违约终止合同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3.1在甲方因乙方违约而按合同约定采取的任何补救措施不受影响的情况下，甲方可在下列情况下向乙方发出书面通知，提出终止部分或全部合同。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3.1.1如果乙方未能在合同规定的限期或甲方同意延长的限期内提供部分或全部货物和服务。</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3.1.2如果乙方未能履行合同规定的其它任何义务。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3.2如果甲方根据以上的规定，终止了全部或部分合同，甲方可以依其认为适当的条件和方法购买与未交产品类似的产品，乙方应对购买类似产品所超出的那部分费用负责。甲方未付款项将被作为甲方采取上述补救措施的购买资金的一部分。并且，乙方应继续履行合同中未终止的部分。</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3.3如乙方擅自终止本合同的，应向甲方支付合同总价款20%的违约金，违约金不足以弥补甲方损失的，还应予以补足。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3.4乙方如有违反合同及招标文件其他应尽义务的，甲方有权根据乙方违约程度要求乙方支付相当于合同总价款20%的违约金。如违约金不足弥补甲方损失的，乙方应予以补足，由此引起的后果，甲方保留进一步追索的权利。</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乙方应赔偿甲方的损失、支付给甲方的违约金、误期赔偿费以及其他依据本合同应支付给甲方的费用，甲方有权直接从未支付款项中予以扣除，不足部分有权要求乙方予以补足。甲方向乙方收取上述费用不影响甲方采取合同规定的其他补救措施的权利。</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十一、索赔：</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在货物交货、使用过程中，甲方发现货物或货物中产品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索赔方式除上述规定之外，甲方还有权选择以下方式进行索赔：</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2．根据货物的损坏程度以及甲方遭受损失的数额，经甲乙双方商定降低货物的价格。</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221"/>
        <w:spacing w:line="360" w:lineRule="auto"/>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不可抗力</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1.合同一方因不可抗力不能履行合同的，根据不可抗力的影响，部分或者全部免除责任。但合同一方迟延履行后发生不可抗力的，不能免除责任。</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不可抗力事件发生后，当事方应在不可抗力发生后十五日内以书面形式将不可抗力的情况和原因通知对方并提供书面证明材料。双方应尽实际可能继续履行合同义务，并积极寻求采取合理的方案履行不受不可抗力影响的其他事项。双方应通过友好协商在合理的时间内达成进一步履行合同的协议。</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w:t>
      </w:r>
      <w:r>
        <w:rPr>
          <w:rFonts w:hint="eastAsia" w:ascii="宋体" w:hAnsi="宋体" w:cs="宋体"/>
          <w:b/>
          <w:bCs/>
          <w:color w:val="000000" w:themeColor="text1"/>
          <w:sz w:val="24"/>
          <w:highlight w:val="none"/>
          <w:lang w:val="zh-CN"/>
          <w14:textFill>
            <w14:solidFill>
              <w14:schemeClr w14:val="tx1"/>
            </w14:solidFill>
          </w14:textFill>
        </w:rPr>
        <w:t xml:space="preserve">、合同的解除和转让</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lang w:val="zh-CN"/>
          <w14:textFill>
            <w14:solidFill>
              <w14:schemeClr w14:val="tx1"/>
            </w14:solidFill>
          </w14:textFill>
        </w:rPr>
        <w:t xml:space="preserve">合同的解除</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color w:val="000000" w:themeColor="text1"/>
          <w:sz w:val="24"/>
          <w:highlight w:val="none"/>
          <w:lang w:val="zh-CN"/>
          <w14:textFill>
            <w14:solidFill>
              <w14:schemeClr w14:val="tx1"/>
            </w14:solidFill>
          </w14:textFill>
        </w:rPr>
        <w:t xml:space="preserve">有下列情形之一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合同一方可以解除合同</w:t>
      </w:r>
      <w:r>
        <w:rPr>
          <w:rFonts w:hint="eastAsia" w:ascii="宋体" w:hAnsi="宋体" w:cs="宋体"/>
          <w:color w:val="000000" w:themeColor="text1"/>
          <w:sz w:val="24"/>
          <w:highlight w:val="none"/>
          <w14:textFill>
            <w14:solidFill>
              <w14:schemeClr w14:val="tx1"/>
            </w14:solidFill>
          </w14:textFill>
        </w:rPr>
        <w:t xml:space="preserve">：</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.1.1 因不可抗力致使不能实现合同目的，未受不可抗力影响的一方有权解除合同；</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.1.2 因合同一方违约导致合同不能履行，另一方有权解除合同；</w:t>
      </w:r>
      <w:r/>
    </w:p>
    <w:p>
      <w:pPr>
        <w:ind w:firstLine="425"/>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 有权解除合同的一方，应当在违约事实或不可抗力发生之后三十天内书面通知对方以主张解除合同，合同在书面通知到达对方时解除。</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w:t>
      </w:r>
      <w:r>
        <w:rPr>
          <w:rFonts w:hint="eastAsia" w:ascii="宋体" w:hAnsi="宋体" w:cs="宋体"/>
          <w:color w:val="000000" w:themeColor="text1"/>
          <w:sz w:val="24"/>
          <w:highlight w:val="none"/>
          <w:lang w:val="zh-CN"/>
          <w14:textFill>
            <w14:solidFill>
              <w14:schemeClr w14:val="tx1"/>
            </w14:solidFill>
          </w14:textFill>
        </w:rPr>
        <w:t xml:space="preserve">政府采购合同继续履行将损害国家利益和社会公共利益的，双方当事人应当变更、中止或者终止合同。</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  合同的转让</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合同的部分和全部都不得转让。</w:t>
      </w:r>
      <w:r/>
    </w:p>
    <w:p>
      <w:pPr>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十</w:t>
      </w:r>
      <w:r>
        <w:rPr>
          <w:rFonts w:hint="eastAsia" w:ascii="宋体" w:hAnsi="宋体" w:cs="宋体"/>
          <w:b/>
          <w:bCs/>
          <w:color w:val="000000" w:themeColor="text1"/>
          <w:sz w:val="24"/>
          <w:highlight w:val="none"/>
          <w14:textFill>
            <w14:solidFill>
              <w14:schemeClr w14:val="tx1"/>
            </w14:solidFill>
          </w14:textFill>
        </w:rPr>
        <w:t xml:space="preserve">四</w:t>
      </w:r>
      <w:r>
        <w:rPr>
          <w:rFonts w:hint="eastAsia" w:ascii="宋体" w:hAnsi="宋体" w:cs="宋体"/>
          <w:b/>
          <w:bCs/>
          <w:color w:val="000000" w:themeColor="text1"/>
          <w:sz w:val="24"/>
          <w:highlight w:val="none"/>
          <w:lang w:val="zh-CN"/>
          <w14:textFill>
            <w14:solidFill>
              <w14:schemeClr w14:val="tx1"/>
            </w14:solidFill>
          </w14:textFill>
        </w:rPr>
        <w:t xml:space="preserve">、争议解决</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2.如果调解不成，双方中的任何一方可向人民法院提起诉讼。诉讼由甲方所在地人民法院管辖。 </w:t>
      </w:r>
      <w:r/>
    </w:p>
    <w:p>
      <w:pPr>
        <w:ind w:firstLine="440"/>
        <w:spacing w:line="360" w:lineRule="auto"/>
        <w:widowControl/>
        <w:rPr>
          <w:rFonts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3.因合同部分履行引发诉讼的，在诉讼期间，除正在进行诉讼的部分外，本合同的其它部分应继续执行。</w:t>
      </w:r>
      <w:r/>
    </w:p>
    <w:p>
      <w:pPr>
        <w:ind w:firstLine="425"/>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4.若由于乙方违约或乙方追究甲方违约不成立的而产生纠纷的，甲方为处理纠纷产生的费用由乙方承担，该费用包括但不限于保全费、诉讼费、鉴定费、律师费、差旅费等。</w:t>
      </w:r>
      <w:r/>
    </w:p>
    <w:p>
      <w:pPr>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十</w:t>
      </w:r>
      <w:r>
        <w:rPr>
          <w:rFonts w:hint="eastAsia" w:ascii="宋体" w:hAnsi="宋体" w:cs="宋体"/>
          <w:b/>
          <w:bCs/>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zh-CN"/>
          <w14:textFill>
            <w14:solidFill>
              <w14:schemeClr w14:val="tx1"/>
            </w14:solidFill>
          </w14:textFill>
        </w:rPr>
        <w:t xml:space="preserve">、合同份数</w:t>
      </w:r>
      <w:r/>
    </w:p>
    <w:p>
      <w:pPr>
        <w:ind w:firstLine="440"/>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本合同一式</w:t>
      </w:r>
      <w:r>
        <w:rPr>
          <w:rFonts w:hint="eastAsia" w:ascii="宋体" w:hAnsi="宋体" w:cs="宋体"/>
          <w:color w:val="000000" w:themeColor="text1"/>
          <w:sz w:val="24"/>
          <w:highlight w:val="none"/>
          <w14:textFill>
            <w14:solidFill>
              <w14:schemeClr w14:val="tx1"/>
            </w14:solidFill>
          </w14:textFill>
        </w:rPr>
        <w:t xml:space="preserve">陆</w:t>
      </w:r>
      <w:r>
        <w:rPr>
          <w:rFonts w:hint="eastAsia" w:ascii="宋体" w:hAnsi="宋体" w:cs="宋体"/>
          <w:color w:val="000000" w:themeColor="text1"/>
          <w:sz w:val="24"/>
          <w:highlight w:val="none"/>
          <w:lang w:val="zh-CN"/>
          <w14:textFill>
            <w14:solidFill>
              <w14:schemeClr w14:val="tx1"/>
            </w14:solidFill>
          </w14:textFill>
        </w:rPr>
        <w:t xml:space="preserve">份，甲、乙方各执</w:t>
      </w:r>
      <w:r>
        <w:rPr>
          <w:rFonts w:hint="eastAsia" w:ascii="宋体" w:hAnsi="宋体" w:cs="宋体"/>
          <w:color w:val="000000" w:themeColor="text1"/>
          <w:sz w:val="24"/>
          <w:highlight w:val="none"/>
          <w14:textFill>
            <w14:solidFill>
              <w14:schemeClr w14:val="tx1"/>
            </w14:solidFill>
          </w14:textFill>
        </w:rPr>
        <w:t xml:space="preserve">贰</w:t>
      </w:r>
      <w:r>
        <w:rPr>
          <w:rFonts w:hint="eastAsia" w:ascii="宋体" w:hAnsi="宋体" w:cs="宋体"/>
          <w:color w:val="000000" w:themeColor="text1"/>
          <w:sz w:val="24"/>
          <w:highlight w:val="none"/>
          <w:lang w:val="zh-CN"/>
          <w14:textFill>
            <w14:solidFill>
              <w14:schemeClr w14:val="tx1"/>
            </w14:solidFill>
          </w14:textFill>
        </w:rPr>
        <w:t xml:space="preserve">份，招标代理机构</w:t>
      </w:r>
      <w:r>
        <w:rPr>
          <w:rFonts w:hint="eastAsia" w:ascii="宋体" w:hAnsi="宋体" w:cs="宋体"/>
          <w:color w:val="000000" w:themeColor="text1"/>
          <w:sz w:val="24"/>
          <w:highlight w:val="none"/>
          <w14:textFill>
            <w14:solidFill>
              <w14:schemeClr w14:val="tx1"/>
            </w14:solidFill>
          </w14:textFill>
        </w:rPr>
        <w:t xml:space="preserve">壹</w:t>
      </w:r>
      <w:r>
        <w:rPr>
          <w:rFonts w:hint="eastAsia" w:ascii="宋体" w:hAnsi="宋体" w:cs="宋体"/>
          <w:color w:val="000000" w:themeColor="text1"/>
          <w:sz w:val="24"/>
          <w:highlight w:val="none"/>
          <w:lang w:val="zh-CN"/>
          <w14:textFill>
            <w14:solidFill>
              <w14:schemeClr w14:val="tx1"/>
            </w14:solidFill>
          </w14:textFill>
        </w:rPr>
        <w:t xml:space="preserve">份，政府采购管理部门</w:t>
      </w:r>
      <w:r>
        <w:rPr>
          <w:rFonts w:hint="eastAsia" w:ascii="宋体" w:hAnsi="宋体" w:cs="宋体"/>
          <w:color w:val="000000" w:themeColor="text1"/>
          <w:sz w:val="24"/>
          <w:highlight w:val="none"/>
          <w14:textFill>
            <w14:solidFill>
              <w14:schemeClr w14:val="tx1"/>
            </w14:solidFill>
          </w14:textFill>
        </w:rPr>
        <w:t xml:space="preserve">壹</w:t>
      </w:r>
      <w:r>
        <w:rPr>
          <w:rFonts w:hint="eastAsia" w:ascii="宋体" w:hAnsi="宋体" w:cs="宋体"/>
          <w:color w:val="000000" w:themeColor="text1"/>
          <w:sz w:val="24"/>
          <w:highlight w:val="none"/>
          <w:lang w:val="zh-CN"/>
          <w14:textFill>
            <w14:solidFill>
              <w14:schemeClr w14:val="tx1"/>
            </w14:solidFill>
          </w14:textFill>
        </w:rPr>
        <w:t xml:space="preserve">份。</w:t>
      </w:r>
      <w:r/>
    </w:p>
    <w:p>
      <w:pPr>
        <w:spacing w:line="360" w:lineRule="auto"/>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十</w:t>
      </w:r>
      <w:r>
        <w:rPr>
          <w:rFonts w:hint="eastAsia" w:ascii="宋体" w:hAnsi="宋体" w:cs="宋体"/>
          <w:b/>
          <w:bCs/>
          <w:color w:val="000000" w:themeColor="text1"/>
          <w:sz w:val="24"/>
          <w:highlight w:val="none"/>
          <w14:textFill>
            <w14:solidFill>
              <w14:schemeClr w14:val="tx1"/>
            </w14:solidFill>
          </w14:textFill>
        </w:rPr>
        <w:t xml:space="preserve">六</w:t>
      </w:r>
      <w:r>
        <w:rPr>
          <w:rFonts w:hint="eastAsia" w:ascii="宋体" w:hAnsi="宋体" w:cs="宋体"/>
          <w:b/>
          <w:bCs/>
          <w:color w:val="000000" w:themeColor="text1"/>
          <w:sz w:val="24"/>
          <w:highlight w:val="none"/>
          <w:lang w:val="zh-CN"/>
          <w14:textFill>
            <w14:solidFill>
              <w14:schemeClr w14:val="tx1"/>
            </w14:solidFill>
          </w14:textFill>
        </w:rPr>
        <w:t xml:space="preserve">、合同生效及其它：</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1、本合同在双方签字盖章后即生效，同时还需经苏州市政府采购监督部门备案。</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在执行过程中出现的未尽事宜，双方在不违背本合同和招标文件的原则下协商解决，协商结果以书面形式盖章记录在案，作为本合同的附件，与本合同具有同等效力，但需向苏州市政府采购监督部门和招标代理机构备存。</w:t>
      </w:r>
      <w:r>
        <w:rPr>
          <w:rFonts w:hint="eastAsia" w:ascii="宋体" w:hAnsi="宋体" w:cs="宋体"/>
          <w:color w:val="000000" w:themeColor="text1"/>
          <w:sz w:val="24"/>
          <w:highlight w:val="none"/>
          <w:lang w:val="zh-CN"/>
          <w14:textFill>
            <w14:solidFill>
              <w14:schemeClr w14:val="tx1"/>
            </w14:solidFill>
          </w14:textFill>
        </w:rPr>
        <w:t xml:space="preserve">若调解后甲乙双方协商不成，任何一方均可向甲方所在人民法院提起诉讼。</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合同实施过程中，双方一切合同事项上的对接均以书面通知为准。双方所确认的负责人、联系方式及法律文书送达地址（本合同首部的地址），如发生变更的，应当于变更之日起3日内书面通知另一方，未通知的自行承担法院送达不能等不利后果。</w:t>
      </w:r>
      <w:r/>
    </w:p>
    <w:p>
      <w:pPr>
        <w:ind w:firstLine="440"/>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、本合同未尽事宜应按《中华人民共和国民法典》、《中华人民共和国产品质量法》、《中华人民共和国政府采购法》之规定解释。</w:t>
      </w:r>
      <w:r/>
    </w:p>
    <w:p>
      <w:pPr>
        <w:ind w:firstLine="220"/>
        <w:spacing w:line="360" w:lineRule="auto"/>
        <w:tabs>
          <w:tab w:val="left" w:pos="0" w:leader="none"/>
        </w:tabs>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ind w:firstLine="220"/>
        <w:spacing w:line="360" w:lineRule="auto"/>
        <w:tabs>
          <w:tab w:val="left" w:pos="0" w:leader="none"/>
        </w:tabs>
        <w:rPr>
          <w:rFonts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r>
      <w:r/>
    </w:p>
    <w:p>
      <w:pPr>
        <w:ind w:firstLine="220"/>
        <w:spacing w:line="360" w:lineRule="auto"/>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公章</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乙方</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公章</w:t>
      </w:r>
      <w:r>
        <w:rPr>
          <w:rFonts w:hint="eastAsia" w:ascii="宋体" w:hAnsi="宋体" w:cs="宋体"/>
          <w:color w:val="000000" w:themeColor="text1"/>
          <w:sz w:val="24"/>
          <w:highlight w:val="none"/>
          <w14:textFill>
            <w14:solidFill>
              <w14:schemeClr w14:val="tx1"/>
            </w14:solidFill>
          </w14:textFill>
        </w:rPr>
        <w:t xml:space="preserve">）：</w:t>
      </w:r>
      <w:r/>
    </w:p>
    <w:p>
      <w:pPr>
        <w:ind w:firstLine="220"/>
        <w:spacing w:line="360" w:lineRule="auto"/>
        <w:tabs>
          <w:tab w:val="left" w:pos="0"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法人代表（签章）：</w:t>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 xml:space="preserve">                    法人代表（签章）：</w:t>
      </w:r>
      <w:r>
        <w:rPr>
          <w:rFonts w:hint="eastAsia" w:ascii="宋体" w:hAnsi="宋体" w:cs="宋体"/>
          <w:color w:val="000000" w:themeColor="text1"/>
          <w:sz w:val="24"/>
          <w:highlight w:val="none"/>
          <w:lang w:val="zh-CN"/>
          <w14:textFill>
            <w14:solidFill>
              <w14:schemeClr w14:val="tx1"/>
            </w14:solidFill>
          </w14:textFill>
        </w:rPr>
        <w:tab/>
      </w:r>
      <w:r/>
    </w:p>
    <w:p>
      <w:pPr>
        <w:ind w:firstLine="220"/>
        <w:spacing w:line="360" w:lineRule="auto"/>
        <w:tabs>
          <w:tab w:val="left" w:pos="0"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或其                                     或其</w:t>
      </w:r>
      <w:r/>
    </w:p>
    <w:p>
      <w:pPr>
        <w:ind w:firstLine="220"/>
        <w:spacing w:line="360" w:lineRule="auto"/>
        <w:tabs>
          <w:tab w:val="left" w:pos="0" w:leader="none"/>
        </w:tabs>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w:t>
      </w:r>
      <w:r>
        <w:rPr>
          <w:rFonts w:hint="eastAsia" w:ascii="宋体" w:hAnsi="宋体" w:cs="宋体"/>
          <w:color w:val="000000" w:themeColor="text1"/>
          <w:sz w:val="24"/>
          <w:highlight w:val="none"/>
          <w14:textFill>
            <w14:solidFill>
              <w14:schemeClr w14:val="tx1"/>
            </w14:solidFill>
          </w14:textFill>
        </w:rPr>
        <w:t xml:space="preserve">表</w:t>
      </w:r>
      <w:r>
        <w:rPr>
          <w:rFonts w:hint="eastAsia" w:ascii="宋体" w:hAnsi="宋体" w:cs="宋体"/>
          <w:color w:val="000000" w:themeColor="text1"/>
          <w:sz w:val="24"/>
          <w:highlight w:val="none"/>
          <w:lang w:val="zh-CN"/>
          <w14:textFill>
            <w14:solidFill>
              <w14:schemeClr w14:val="tx1"/>
            </w14:solidFill>
          </w14:textFill>
        </w:rPr>
        <w:t xml:space="preserve">人（签章）：</w:t>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ab/>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授权代</w:t>
      </w:r>
      <w:r>
        <w:rPr>
          <w:rFonts w:hint="eastAsia" w:ascii="宋体" w:hAnsi="宋体" w:cs="宋体"/>
          <w:color w:val="000000" w:themeColor="text1"/>
          <w:sz w:val="24"/>
          <w:highlight w:val="none"/>
          <w14:textFill>
            <w14:solidFill>
              <w14:schemeClr w14:val="tx1"/>
            </w14:solidFill>
          </w14:textFill>
        </w:rPr>
        <w:t xml:space="preserve">表</w:t>
      </w:r>
      <w:r>
        <w:rPr>
          <w:rFonts w:hint="eastAsia" w:ascii="宋体" w:hAnsi="宋体" w:cs="宋体"/>
          <w:color w:val="000000" w:themeColor="text1"/>
          <w:sz w:val="24"/>
          <w:highlight w:val="none"/>
          <w:lang w:val="zh-CN"/>
          <w14:textFill>
            <w14:solidFill>
              <w14:schemeClr w14:val="tx1"/>
            </w14:solidFill>
          </w14:textFill>
        </w:rPr>
        <w:t xml:space="preserve">人（签章）：</w:t>
      </w:r>
      <w:r>
        <w:rPr>
          <w:rFonts w:hint="eastAsia" w:ascii="宋体" w:hAnsi="宋体" w:cs="宋体"/>
          <w:color w:val="000000" w:themeColor="text1"/>
          <w:sz w:val="24"/>
          <w:highlight w:val="none"/>
          <w:lang w:val="zh-CN"/>
          <w14:textFill>
            <w14:solidFill>
              <w14:schemeClr w14:val="tx1"/>
            </w14:solidFill>
          </w14:textFill>
        </w:rPr>
        <w:tab/>
      </w:r>
      <w:r/>
    </w:p>
    <w:p>
      <w:pPr>
        <w:ind w:firstLine="2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年   月   日                             年   月   日</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827"/>
        <w:jc w:val="center"/>
        <w:spacing w:line="360" w:lineRule="auto"/>
        <w:rPr>
          <w:rFonts w:ascii="宋体" w:hAnsi="宋体" w:cs="宋体"/>
          <w:color w:val="000000" w:themeColor="text1"/>
          <w:sz w:val="24"/>
          <w:highlight w:val="none"/>
          <w14:textFill>
            <w14:solidFill>
              <w14:schemeClr w14:val="tx1"/>
            </w14:solidFill>
          </w14:textFill>
        </w:rPr>
      </w:pPr>
      <w:r/>
      <w:bookmarkStart w:id="45" w:name="_Toc388026588"/>
      <w:r/>
      <w:bookmarkStart w:id="46" w:name="_Toc518558493"/>
      <w:r>
        <w:rPr>
          <w:rFonts w:hint="eastAsia" w:ascii="宋体" w:hAnsi="宋体" w:cs="宋体"/>
          <w:color w:val="000000" w:themeColor="text1"/>
          <w:sz w:val="24"/>
          <w:highlight w:val="none"/>
          <w14:textFill>
            <w14:solidFill>
              <w14:schemeClr w14:val="tx1"/>
            </w14:solidFill>
          </w14:textFill>
        </w:rPr>
        <w:t xml:space="preserve">第六章 评标办法及标准</w:t>
      </w:r>
      <w:bookmarkEnd w:id="45"/>
      <w:r/>
      <w:bookmarkEnd w:id="46"/>
      <w:r/>
      <w:r/>
    </w:p>
    <w:p>
      <w:pPr>
        <w:spacing w:line="2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一、评标办法：</w:t>
      </w:r>
      <w:r/>
    </w:p>
    <w:p>
      <w:pPr>
        <w:pStyle w:val="658"/>
        <w:ind w:firstLine="440"/>
        <w:jc w:val="left"/>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1、本次招标评标采用为</w:t>
      </w:r>
      <w:r>
        <w:rPr>
          <w:rFonts w:hint="eastAsia" w:hAnsi="宋体" w:cs="宋体"/>
          <w:color w:val="000000" w:themeColor="text1"/>
          <w:sz w:val="24"/>
          <w:highlight w:val="none"/>
          <w:u w:val="single"/>
          <w14:textFill>
            <w14:solidFill>
              <w14:schemeClr w14:val="tx1"/>
            </w14:solidFill>
          </w14:textFill>
        </w:rPr>
        <w:t xml:space="preserve">综合评分法</w:t>
      </w:r>
      <w:r>
        <w:rPr>
          <w:rFonts w:hint="eastAsia" w:hAnsi="宋体" w:cs="宋体"/>
          <w:color w:val="000000" w:themeColor="text1"/>
          <w:sz w:val="24"/>
          <w:highlight w:val="none"/>
          <w14:textFill>
            <w14:solidFill>
              <w14:schemeClr w14:val="tx1"/>
            </w14:solidFill>
          </w14:textFill>
        </w:rPr>
        <w:t xml:space="preserve">，即在满足招标文件实质性要求前提下，评标委员会按照招标文件中规定的评分标准和各项因素进行综合评审后，按评标总得分高低顺序推荐中标候选供应商。</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3、通过资格审查、符合性审查的不同投标人参加同一合同项下投标，提供的</w:t>
      </w:r>
      <w:r>
        <w:rPr>
          <w:rFonts w:hint="eastAsia" w:ascii="宋体" w:hAnsi="宋体" w:cs="宋体"/>
          <w:b/>
          <w:bCs/>
          <w:color w:val="000000" w:themeColor="text1"/>
          <w:sz w:val="24"/>
          <w:highlight w:val="none"/>
          <w14:textFill>
            <w14:solidFill>
              <w14:schemeClr w14:val="tx1"/>
            </w14:solidFill>
          </w14:textFill>
        </w:rPr>
        <w:t xml:space="preserve">核心产品品牌相同</w:t>
      </w:r>
      <w:r>
        <w:rPr>
          <w:rFonts w:hint="eastAsia" w:ascii="宋体" w:hAnsi="宋体" w:cs="宋体"/>
          <w:color w:val="000000" w:themeColor="text1"/>
          <w:sz w:val="24"/>
          <w:highlight w:val="none"/>
          <w14:textFill>
            <w14:solidFill>
              <w14:schemeClr w14:val="tx1"/>
            </w14:solidFill>
          </w14:textFill>
        </w:rPr>
        <w:t xml:space="preserve">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4、如出现综合得分最高的投标人有两个或两个以上的，以投标报价较低者优先作为中标候选人，如果投标报价也相同的，则由公证机构组织以抽签方式确定中标候选人。</w:t>
      </w:r>
      <w:r/>
    </w:p>
    <w:p>
      <w:pPr>
        <w:ind w:firstLine="44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5、针对小微型企业、残疾人福利性单位、监狱企业的评审价格折扣按照招标文件内针对中小型企业的评审、促进残疾人就业和支持监狱企业发展有关政策相关规定执行。</w:t>
      </w:r>
      <w:r/>
    </w:p>
    <w:p>
      <w:pPr>
        <w:ind w:firstLine="44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二、评分标准：</w:t>
      </w:r>
      <w:r/>
    </w:p>
    <w:p>
      <w:pPr>
        <w:ind w:firstLine="44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(一)投标报价：(30分)</w:t>
      </w:r>
      <w:r/>
    </w:p>
    <w:p>
      <w:pPr>
        <w:ind w:firstLine="44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第一步：投标总报价低于或等于采购预算价格的，为有效投标报价。超采购预算的投标报价为无效投标报价。无效投标报价的投标文件不进行评审，也不得标。</w:t>
      </w:r>
      <w:r/>
    </w:p>
    <w:p>
      <w:pPr>
        <w:ind w:firstLine="44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第二步：价格分采用低价优先法计算，即满足招标文件要求且投标价格最低的投标报价为评标基准价，其价格分为满分30分。其他投标人的价格分统一按照下列公式计算：</w:t>
      </w:r>
      <w:r/>
    </w:p>
    <w:p>
      <w:pPr>
        <w:ind w:firstLine="44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投标报价得分=（评标基准价/投标报价）*价格权值*100，小数点后保留两位（价格权值为30%）。</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（二）技术方案部分（40分）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1、灾备云架构设计方案  8分  </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灾备云平台架构设计进行评分，灾备云架构需为整体架构，可实现计算、存储资源池化，灾备云自身提供多节点冗余，DB主备、仲裁节点，实现故障节点任务漂移，具备动态调整故障资源切换和负载均衡机制。方案内容详细、功能明确，综合评定最优的得8分；方案内容简单，功能明确，综合评定一般的得5分；方案内容不完整，功能描述不清楚，综合评定较差的得1分；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2、灾备云全局监控和报表支撑  8分  </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灾备云全局监控和报表支撑，监控内容包括节点硬件性能、灾备任务执行状况、灾备主机RTO和RPO值的监控、灾备主机全局监控等，对灾备任务执行结果有报表支撑，报表内容包括但不限于灾备业务、备份、验证、演练、接管、RTO和RPO等提供详细的报表支撑，针对所提供方案监控内容和报表支撑的完整性、全面等进行评分。具备全部的监控和报表支撑的得8分；监控和报表功能一般的得5分；监控和报表功能较差的得1分；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3、灾备云备份和恢复方案  8分  </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根据现有业务系统情况设计备份和恢复方案，依照不同业务系统的数据重要性和业务连续性需求，有层次有梯度的设计备份和恢复的方式与策略，在合理利用灾备云资源的同时最大限度的保障数据完整性和业务连续性。方案内容详细、功能明确，综合评定最优的得8分；方案内容简单，功能明确，综合评定一般的得5分；方案内容不完整，功能描述不清楚，综合评定较差的得1分；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4、灾备云验证和演练方案 6分  </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灾备云提供多种完善的备份数据验证和灾难演练机制，通过灾难演练确保备份数据的有效性、完整性与可恢复性，满足等保2.0中对于灾难演练的相关要求。且灾备云可实现无需预置演练环境，快速在灾备云上直接拉起演练或在异构主机间恢复演练。方案内容详细、功能明确，综合评定最优的得6分；方案内容简单，功能明确，综合评定一般的得4分；方案内容不完整，功能描述不清楚，综合评定较差的得1分；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5、培训方案比较  6分  </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培训方案进行综合比较打分。方案周密、流程规范、科学合理的得6分；周密性较好、流程规范性较好、合理性较好的得4分；综合评定一般，流程规范一般的得1分；方案差或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6、售后服务方案比较 4分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单位提供的售后服务方案进行综合比较打分。满足采购要求售后服务的基础上，根据售后服务承诺的范围和完善程度（包括售后服务形式、服务标准、故障响应处置、售后服务体系、质保期后维保承诺等方面），内容详细、完善可行、科学合理、流程规范的得4分；内容比较详细、可行性较好、合理性较好、流程规范性较好的得3分；详细性一般、可行性一般、合理性一般、流程规范程度一般的得1分；方案差或未提供相应内容的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（三）产品质量保证（13分）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1.所投设备的技术参数、性能指标  （10分）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提供招标参数（设备参数清单的标★部分）详细偏离说明及证明文件，标注负偏离项或未按要求提供证明文件扣2分，10分扣完为止，其他未标注★部分每偏离1项，扣1分，扣完为止。</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2.序号2-基础灾备功能模块-国产操作系统支持、国产芯片支持，每提供一份兼容性证明的得1分；最高2分。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3.序号2-基础灾备功能模块，具备《高质量数字化转型产品测试证书》，提供一份证明材料的得1分；最高1分。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注：以上1-3项须提供证明材料扫描件并加盖供应商公章，未按要求提供或提供不全不得分。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（四）人员资质（12分）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1.项目经理（1人）需具备注册信息安全管理人员（CISO）证书、高级工程师、信息安全保障人员认证证书CISAW，每有一个得1分，最高3分。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2.技术负责人（1人）需具备网络工程师、信息系统项目管理师(高级)证书、注册信息安全管理人员CISO证书，每有一个得1分，最高3分。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3.信息安全负责人（1人）需具备系统架构设计师证书、信息安全保障人员认证证书（CISAW）、注册信息安全专业人员（CISP) 证书，每有一个得1分，最高3分。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4.实施负责人（1人）需具备注册信息安全管理人员（CISO）证书、信息系统项目管理师、信息安全保障人员认证证书CISAW，每有一个得1分，最高3分。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（五）企业综合实力（5分）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1.供应商2022年1月1日以来（以合同签订日期为准）独立完成过的类似项目业绩，每提供一份类似业绩合同得1分，最高5分。（投标文件中提供合同复印件并加盖单位公章，不提供不得分。）</w:t>
      </w:r>
      <w:r/>
    </w:p>
    <w:p>
      <w:pPr>
        <w:ind w:firstLine="4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pStyle w:val="858"/>
        <w:ind w:firstLine="330"/>
        <w:spacing w:line="360" w:lineRule="auto"/>
        <w:rPr>
          <w:rFonts w:hAnsi="宋体" w:cs="宋体"/>
          <w:color w:val="000000" w:themeColor="text1"/>
          <w:sz w:val="24"/>
          <w:szCs w:val="24"/>
          <w:highlight w:val="none"/>
          <w14:textFill>
            <w14:solidFill>
              <w14:schemeClr w14:val="tx1"/>
            </w14:solidFill>
          </w14:textFill>
        </w:rPr>
        <w:outlineLvl w:val="0"/>
      </w:pPr>
      <w:r>
        <w:rPr>
          <w:rFonts w:hint="eastAsia" w:hAnsi="宋体" w:cs="宋体"/>
          <w:color w:val="000000" w:themeColor="text1"/>
          <w:sz w:val="24"/>
          <w:szCs w:val="24"/>
          <w:highlight w:val="none"/>
          <w14:textFill>
            <w14:solidFill>
              <w14:schemeClr w14:val="tx1"/>
            </w14:solidFill>
          </w14:textFill>
        </w:rPr>
        <w:t xml:space="preserve">1、招标文件要求的检测报告须为有检测资质的检测机构出具的完整的检测报告，完整的检测报告含封底及封面且扫描完整，有电话可以查询真伪。扫描局部内容视为无效，缩放后导致无法识别的视为无效。未注明有效期限的检测（测试）报告符合招标文件要求的均予以认可。</w:t>
      </w:r>
      <w:bookmarkStart w:id="47" w:name="_GoBack"/>
      <w:r/>
      <w:bookmarkEnd w:id="47"/>
      <w:r/>
      <w:r/>
    </w:p>
    <w:p>
      <w:pPr>
        <w:pStyle w:val="858"/>
        <w:ind w:firstLine="330"/>
        <w:spacing w:line="360" w:lineRule="auto"/>
        <w:rPr>
          <w:rFonts w:hAnsi="宋体" w:cs="宋体"/>
          <w:color w:val="000000" w:themeColor="text1"/>
          <w:sz w:val="24"/>
          <w:szCs w:val="24"/>
          <w:highlight w:val="none"/>
          <w14:textFill>
            <w14:solidFill>
              <w14:schemeClr w14:val="tx1"/>
            </w14:solidFill>
          </w14:textFill>
        </w:rPr>
        <w:outlineLvl w:val="0"/>
      </w:pPr>
      <w:r>
        <w:rPr>
          <w:rFonts w:hint="eastAsia" w:hAnsi="宋体" w:cs="宋体"/>
          <w:color w:val="000000" w:themeColor="text1"/>
          <w:sz w:val="24"/>
          <w:szCs w:val="24"/>
          <w:highlight w:val="none"/>
          <w14:textFill>
            <w14:solidFill>
              <w14:schemeClr w14:val="tx1"/>
            </w14:solidFill>
          </w14:textFill>
        </w:rPr>
        <w:t xml:space="preserve">2、付款方式、交货期限、售后服务不满足招标文件要求视同未实质性响应招标文件要求。</w:t>
      </w:r>
      <w:r/>
    </w:p>
    <w:p>
      <w:pPr>
        <w:pStyle w:val="858"/>
        <w:ind w:firstLine="330"/>
        <w:spacing w:line="360" w:lineRule="auto"/>
        <w:rPr>
          <w:rFonts w:hAnsi="宋体" w:cs="宋体"/>
          <w:color w:val="000000" w:themeColor="text1"/>
          <w:sz w:val="24"/>
          <w:szCs w:val="24"/>
          <w:highlight w:val="none"/>
          <w14:textFill>
            <w14:solidFill>
              <w14:schemeClr w14:val="tx1"/>
            </w14:solidFill>
          </w14:textFill>
        </w:rPr>
        <w:outlineLvl w:val="0"/>
      </w:pPr>
      <w:r>
        <w:rPr>
          <w:rFonts w:hint="eastAsia" w:hAnsi="宋体" w:cs="宋体"/>
          <w:color w:val="000000" w:themeColor="text1"/>
          <w:sz w:val="24"/>
          <w:szCs w:val="24"/>
          <w:highlight w:val="none"/>
          <w14:textFill>
            <w14:solidFill>
              <w14:schemeClr w14:val="tx1"/>
            </w14:solidFill>
          </w14:textFill>
        </w:rPr>
        <w:t xml:space="preserve">3、针对评分标准中评分的每一条，投标人均应提供相关资料并作出相应说明供评委评判，不提供相关资料的视为不具备该项得分的条件。</w:t>
      </w:r>
      <w:r/>
    </w:p>
    <w:p>
      <w:pPr>
        <w:pStyle w:val="858"/>
        <w:ind w:firstLine="330"/>
        <w:spacing w:line="360" w:lineRule="auto"/>
        <w:rPr>
          <w:rFonts w:hAnsi="宋体" w:cs="宋体"/>
          <w:color w:val="000000" w:themeColor="text1"/>
          <w:sz w:val="24"/>
          <w:szCs w:val="24"/>
          <w:highlight w:val="none"/>
          <w14:textFill>
            <w14:solidFill>
              <w14:schemeClr w14:val="tx1"/>
            </w14:solidFill>
          </w14:textFill>
        </w:rPr>
        <w:outlineLvl w:val="0"/>
      </w:pPr>
      <w:r>
        <w:rPr>
          <w:rFonts w:hint="eastAsia" w:hAnsi="宋体" w:cs="宋体"/>
          <w:color w:val="000000" w:themeColor="text1"/>
          <w:sz w:val="24"/>
          <w:szCs w:val="24"/>
          <w:highlight w:val="none"/>
          <w14:textFill>
            <w14:solidFill>
              <w14:schemeClr w14:val="tx1"/>
            </w14:solidFill>
          </w14:textFill>
        </w:rPr>
        <w:t xml:space="preserve">4、投标文件中如出现前后不一致时，评委有权请投标人澄清说明，澄清说明事项涉及评分时，评委有权酌情扣分。</w:t>
      </w:r>
      <w:r/>
    </w:p>
    <w:p>
      <w:pPr>
        <w:ind w:firstLine="2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858"/>
        <w:ind w:firstLine="316"/>
        <w:spacing w:line="360" w:lineRule="auto"/>
        <w:rPr>
          <w:rFonts w:hAnsi="宋体" w:cs="宋体"/>
          <w:b/>
          <w:bCs/>
          <w:color w:val="000000" w:themeColor="text1"/>
          <w:szCs w:val="21"/>
          <w:highlight w:val="none"/>
          <w14:textFill>
            <w14:solidFill>
              <w14:schemeClr w14:val="tx1"/>
            </w14:solidFill>
          </w14:textFill>
        </w:rPr>
        <w:outlineLvl w:val="0"/>
      </w:pPr>
      <w:r>
        <w:rPr>
          <w:rFonts w:hAnsi="宋体" w:cs="宋体"/>
          <w:b/>
          <w:bCs/>
          <w:color w:val="000000" w:themeColor="text1"/>
          <w:szCs w:val="21"/>
          <w:highlight w:val="none"/>
          <w14:textFill>
            <w14:solidFill>
              <w14:schemeClr w14:val="tx1"/>
            </w14:solidFill>
          </w14:textFill>
        </w:rPr>
      </w:r>
      <w:r/>
    </w:p>
    <w:p>
      <w:pPr>
        <w:rPr>
          <w:vanish/>
          <w:color w:val="000000" w:themeColor="text1"/>
          <w:highlight w:val="none"/>
          <w14:textFill>
            <w14:solidFill>
              <w14:schemeClr w14:val="tx1"/>
            </w14:solidFill>
          </w14:textFill>
        </w:rPr>
      </w:pPr>
      <w:r>
        <w:rPr>
          <w:vanish/>
          <w:color w:val="000000" w:themeColor="text1"/>
          <w:highlight w:val="none"/>
          <w14:textFill>
            <w14:solidFill>
              <w14:schemeClr w14:val="tx1"/>
            </w14:solidFill>
          </w14:textFill>
        </w:rPr>
      </w:r>
      <w:r/>
    </w:p>
    <w:p>
      <w:pPr>
        <w:jc w:val="right"/>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(全文完）</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alibri">
    <w:panose1 w:val="020F0502020204030204"/>
  </w:font>
  <w:font w:name="仿宋_GB2312">
    <w:panose1 w:val="02010609060101010101"/>
  </w:font>
  <w:font w:name="楷体_GB2312">
    <w:panose1 w:val="02010609060101010101"/>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etween w:val="none" w:color="000000" w:sz="0" w:space="0"/>
      </w:pBdr>
      <w:framePr w:wrap="around" w:vAnchor="text" w:hAnchor="margin" w:xAlign="center" w:y="1"/>
    </w:pPr>
    <w:r>
      <w:rPr>
        <w:rStyle w:val="853"/>
      </w:rPr>
      <w:fldChar w:fldCharType="begin"/>
    </w:r>
    <w:r>
      <w:rPr>
        <w:rStyle w:val="853"/>
      </w:rPr>
      <w:instrText xml:space="preserve"> PAGE  </w:instrText>
    </w:r>
    <w:r>
      <w:rPr>
        <w:rStyle w:val="853"/>
      </w:rPr>
      <w:fldChar w:fldCharType="separate"/>
    </w:r>
    <w:r>
      <w:rPr>
        <w:rStyle w:val="853"/>
      </w:rPr>
      <w:t xml:space="preserve">75</w:t>
    </w:r>
    <w:r>
      <w:rPr>
        <w:rStyle w:val="853"/>
      </w:rPr>
      <w:fldChar w:fldCharType="end"/>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ascii="宋体" w:hAnsi="宋体" w:eastAsia="宋体" w:cs="Aria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556" w:hanging="420"/>
      </w:pPr>
    </w:lvl>
    <w:lvl w:ilvl="2">
      <w:start w:val="1"/>
      <w:numFmt w:val="lowerRoman"/>
      <w:isLgl w:val="false"/>
      <w:suff w:val="tab"/>
      <w:lvlText w:val="%3."/>
      <w:lvlJc w:val="right"/>
      <w:pPr>
        <w:ind w:left="976" w:hanging="420"/>
      </w:pPr>
    </w:lvl>
    <w:lvl w:ilvl="3">
      <w:start w:val="1"/>
      <w:numFmt w:val="decimal"/>
      <w:isLgl w:val="false"/>
      <w:suff w:val="tab"/>
      <w:lvlText w:val="%4."/>
      <w:lvlJc w:val="left"/>
      <w:pPr>
        <w:ind w:left="1396" w:hanging="420"/>
      </w:pPr>
    </w:lvl>
    <w:lvl w:ilvl="4">
      <w:start w:val="1"/>
      <w:numFmt w:val="lowerLetter"/>
      <w:isLgl w:val="false"/>
      <w:suff w:val="tab"/>
      <w:lvlText w:val="%5)"/>
      <w:lvlJc w:val="left"/>
      <w:pPr>
        <w:ind w:left="1816" w:hanging="420"/>
      </w:pPr>
    </w:lvl>
    <w:lvl w:ilvl="5">
      <w:start w:val="1"/>
      <w:numFmt w:val="lowerRoman"/>
      <w:isLgl w:val="false"/>
      <w:suff w:val="tab"/>
      <w:lvlText w:val="%6."/>
      <w:lvlJc w:val="right"/>
      <w:pPr>
        <w:ind w:left="2236" w:hanging="420"/>
      </w:pPr>
    </w:lvl>
    <w:lvl w:ilvl="6">
      <w:start w:val="1"/>
      <w:numFmt w:val="decimal"/>
      <w:isLgl w:val="false"/>
      <w:suff w:val="tab"/>
      <w:lvlText w:val="%7."/>
      <w:lvlJc w:val="left"/>
      <w:pPr>
        <w:ind w:left="2656" w:hanging="420"/>
      </w:pPr>
    </w:lvl>
    <w:lvl w:ilvl="7">
      <w:start w:val="1"/>
      <w:numFmt w:val="lowerLetter"/>
      <w:isLgl w:val="false"/>
      <w:suff w:val="tab"/>
      <w:lvlText w:val="%8)"/>
      <w:lvlJc w:val="left"/>
      <w:pPr>
        <w:ind w:left="3076" w:hanging="420"/>
      </w:pPr>
    </w:lvl>
    <w:lvl w:ilvl="8">
      <w:start w:val="1"/>
      <w:numFmt w:val="lowerRoman"/>
      <w:isLgl w:val="false"/>
      <w:suff w:val="tab"/>
      <w:lvlText w:val="%9."/>
      <w:lvlJc w:val="right"/>
      <w:pPr>
        <w:ind w:left="3496" w:hanging="420"/>
      </w:pPr>
    </w:lvl>
  </w:abstractNum>
  <w:num w:numId="1">
    <w:abstractNumId w:val="3"/>
  </w:num>
  <w:num w:numId="2">
    <w:abstractNumId w:val="0"/>
  </w:num>
  <w:num w:numId="3">
    <w:abstractNumId w:val="8"/>
  </w:num>
  <w:num w:numId="4">
    <w:abstractNumId w:val="1"/>
  </w:num>
  <w:num w:numId="5">
    <w:abstractNumId w:val="9"/>
  </w:num>
  <w:num w:numId="6">
    <w:abstractNumId w:val="10"/>
  </w:num>
  <w:num w:numId="7">
    <w:abstractNumId w:val="6"/>
  </w:num>
  <w:num w:numId="8">
    <w:abstractNumId w:val="4"/>
  </w:num>
  <w:num w:numId="9">
    <w:abstractNumId w:val="5"/>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8"/>
    <w:link w:val="639"/>
    <w:uiPriority w:val="9"/>
    <w:rPr>
      <w:rFonts w:ascii="Arial" w:hAnsi="Arial" w:eastAsia="Arial" w:cs="Arial"/>
      <w:sz w:val="40"/>
      <w:szCs w:val="40"/>
    </w:rPr>
  </w:style>
  <w:style w:type="character" w:styleId="15">
    <w:name w:val="Heading 2 Char"/>
    <w:basedOn w:val="648"/>
    <w:link w:val="640"/>
    <w:uiPriority w:val="9"/>
    <w:rPr>
      <w:rFonts w:ascii="Arial" w:hAnsi="Arial" w:eastAsia="Arial" w:cs="Arial"/>
      <w:sz w:val="34"/>
    </w:rPr>
  </w:style>
  <w:style w:type="character" w:styleId="17">
    <w:name w:val="Heading 3 Char"/>
    <w:basedOn w:val="648"/>
    <w:link w:val="641"/>
    <w:uiPriority w:val="9"/>
    <w:rPr>
      <w:rFonts w:ascii="Arial" w:hAnsi="Arial" w:eastAsia="Arial" w:cs="Arial"/>
      <w:sz w:val="30"/>
      <w:szCs w:val="30"/>
    </w:rPr>
  </w:style>
  <w:style w:type="character" w:styleId="19">
    <w:name w:val="Heading 4 Char"/>
    <w:basedOn w:val="648"/>
    <w:link w:val="642"/>
    <w:uiPriority w:val="9"/>
    <w:rPr>
      <w:rFonts w:ascii="Arial" w:hAnsi="Arial" w:eastAsia="Arial" w:cs="Arial"/>
      <w:b/>
      <w:bCs/>
      <w:sz w:val="26"/>
      <w:szCs w:val="26"/>
    </w:rPr>
  </w:style>
  <w:style w:type="character" w:styleId="21">
    <w:name w:val="Heading 5 Char"/>
    <w:basedOn w:val="648"/>
    <w:link w:val="643"/>
    <w:uiPriority w:val="9"/>
    <w:rPr>
      <w:rFonts w:ascii="Arial" w:hAnsi="Arial" w:eastAsia="Arial" w:cs="Arial"/>
      <w:b/>
      <w:bCs/>
      <w:sz w:val="24"/>
      <w:szCs w:val="24"/>
    </w:rPr>
  </w:style>
  <w:style w:type="character" w:styleId="23">
    <w:name w:val="Heading 6 Char"/>
    <w:basedOn w:val="648"/>
    <w:link w:val="644"/>
    <w:uiPriority w:val="9"/>
    <w:rPr>
      <w:rFonts w:ascii="Arial" w:hAnsi="Arial" w:eastAsia="Arial" w:cs="Arial"/>
      <w:b/>
      <w:bCs/>
      <w:sz w:val="22"/>
      <w:szCs w:val="22"/>
    </w:rPr>
  </w:style>
  <w:style w:type="character" w:styleId="25">
    <w:name w:val="Heading 7 Char"/>
    <w:basedOn w:val="648"/>
    <w:link w:val="645"/>
    <w:uiPriority w:val="9"/>
    <w:rPr>
      <w:rFonts w:ascii="Arial" w:hAnsi="Arial" w:eastAsia="Arial" w:cs="Arial"/>
      <w:b/>
      <w:bCs/>
      <w:i/>
      <w:iCs/>
      <w:sz w:val="22"/>
      <w:szCs w:val="22"/>
    </w:rPr>
  </w:style>
  <w:style w:type="character" w:styleId="27">
    <w:name w:val="Heading 8 Char"/>
    <w:basedOn w:val="648"/>
    <w:link w:val="646"/>
    <w:uiPriority w:val="9"/>
    <w:rPr>
      <w:rFonts w:ascii="Arial" w:hAnsi="Arial" w:eastAsia="Arial" w:cs="Arial"/>
      <w:i/>
      <w:iCs/>
      <w:sz w:val="22"/>
      <w:szCs w:val="22"/>
    </w:rPr>
  </w:style>
  <w:style w:type="character" w:styleId="29">
    <w:name w:val="Heading 9 Char"/>
    <w:basedOn w:val="648"/>
    <w:link w:val="647"/>
    <w:uiPriority w:val="9"/>
    <w:rPr>
      <w:rFonts w:ascii="Arial" w:hAnsi="Arial" w:eastAsia="Arial" w:cs="Arial"/>
      <w:i/>
      <w:iCs/>
      <w:sz w:val="21"/>
      <w:szCs w:val="21"/>
    </w:rPr>
  </w:style>
  <w:style w:type="character" w:styleId="34">
    <w:name w:val="Title Char"/>
    <w:basedOn w:val="648"/>
    <w:link w:val="673"/>
    <w:uiPriority w:val="10"/>
    <w:rPr>
      <w:sz w:val="48"/>
      <w:szCs w:val="48"/>
    </w:rPr>
  </w:style>
  <w:style w:type="character" w:styleId="36">
    <w:name w:val="Subtitle Char"/>
    <w:basedOn w:val="648"/>
    <w:link w:val="665"/>
    <w:uiPriority w:val="11"/>
    <w:rPr>
      <w:sz w:val="24"/>
      <w:szCs w:val="24"/>
    </w:rPr>
  </w:style>
  <w:style w:type="character" w:styleId="38">
    <w:name w:val="Quote Char"/>
    <w:link w:val="692"/>
    <w:uiPriority w:val="29"/>
    <w:rPr>
      <w:i/>
    </w:rPr>
  </w:style>
  <w:style w:type="character" w:styleId="40">
    <w:name w:val="Intense Quote Char"/>
    <w:link w:val="694"/>
    <w:uiPriority w:val="30"/>
    <w:rPr>
      <w:i/>
    </w:rPr>
  </w:style>
  <w:style w:type="character" w:styleId="42">
    <w:name w:val="Header Char"/>
    <w:basedOn w:val="648"/>
    <w:link w:val="662"/>
    <w:uiPriority w:val="99"/>
  </w:style>
  <w:style w:type="character" w:styleId="44">
    <w:name w:val="Footer Char"/>
    <w:basedOn w:val="648"/>
    <w:link w:val="661"/>
    <w:uiPriority w:val="99"/>
  </w:style>
  <w:style w:type="character" w:styleId="46">
    <w:name w:val="Caption Char"/>
    <w:basedOn w:val="653"/>
    <w:link w:val="661"/>
    <w:uiPriority w:val="99"/>
  </w:style>
  <w:style w:type="character" w:styleId="175">
    <w:name w:val="Footnote Text Char"/>
    <w:link w:val="666"/>
    <w:uiPriority w:val="99"/>
    <w:rPr>
      <w:sz w:val="18"/>
    </w:rPr>
  </w:style>
  <w:style w:type="character" w:styleId="178">
    <w:name w:val="Endnote Text Char"/>
    <w:link w:val="660"/>
    <w:uiPriority w:val="99"/>
    <w:rPr>
      <w:sz w:val="20"/>
    </w:rPr>
  </w:style>
  <w:style w:type="paragraph" w:styleId="189">
    <w:name w:val="TOC Heading"/>
    <w:uiPriority w:val="39"/>
    <w:unhideWhenUsed/>
  </w:style>
  <w:style w:type="paragraph" w:styleId="638" w:default="1">
    <w:name w:val="Normal"/>
    <w:next w:val="650"/>
    <w:uiPriority w:val="0"/>
    <w:qFormat/>
    <w:pPr>
      <w:jc w:val="both"/>
      <w:widowControl w:val="off"/>
    </w:pPr>
    <w:rPr>
      <w:rFonts w:ascii="Times New Roman" w:hAnsi="Times New Roman" w:eastAsia="宋体" w:cs="Times New Roman"/>
      <w:sz w:val="21"/>
      <w:szCs w:val="24"/>
      <w:lang w:val="en-US" w:eastAsia="zh-CN" w:bidi="ar-SA"/>
    </w:rPr>
  </w:style>
  <w:style w:type="paragraph" w:styleId="639">
    <w:name w:val="Heading 1"/>
    <w:basedOn w:val="638"/>
    <w:next w:val="638"/>
    <w:link w:val="679"/>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0"/>
    <w:uiPriority w:val="9"/>
    <w:qFormat/>
    <w:pPr>
      <w:keepLines/>
      <w:keepNext/>
      <w:spacing w:before="360" w:after="200"/>
      <w:outlineLvl w:val="1"/>
    </w:pPr>
    <w:rPr>
      <w:rFonts w:ascii="Arial" w:hAnsi="Arial" w:eastAsia="Arial" w:cs="Arial"/>
      <w:sz w:val="34"/>
    </w:rPr>
  </w:style>
  <w:style w:type="paragraph" w:styleId="641">
    <w:name w:val="Heading 3"/>
    <w:basedOn w:val="638"/>
    <w:next w:val="638"/>
    <w:link w:val="681"/>
    <w:uiPriority w:val="9"/>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2"/>
    <w:uiPriority w:val="9"/>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3"/>
    <w:uiPriority w:val="9"/>
    <w:qFormat/>
    <w:pPr>
      <w:keepLines/>
      <w:keepNext/>
      <w:spacing w:before="320" w:after="200"/>
      <w:outlineLvl w:val="4"/>
    </w:pPr>
    <w:rPr>
      <w:rFonts w:ascii="Arial" w:hAnsi="Arial" w:eastAsia="Arial" w:cs="Arial"/>
      <w:b/>
      <w:bCs/>
      <w:sz w:val="24"/>
    </w:rPr>
  </w:style>
  <w:style w:type="paragraph" w:styleId="644">
    <w:name w:val="Heading 6"/>
    <w:basedOn w:val="638"/>
    <w:next w:val="638"/>
    <w:link w:val="684"/>
    <w:uiPriority w:val="9"/>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85"/>
    <w:uiPriority w:val="9"/>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86"/>
    <w:uiPriority w:val="9"/>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87"/>
    <w:uiPriority w:val="9"/>
    <w:qFormat/>
    <w:pPr>
      <w:keepLines/>
      <w:keepNext/>
      <w:spacing w:before="320" w:after="200"/>
      <w:outlineLvl w:val="8"/>
    </w:pPr>
    <w:rPr>
      <w:rFonts w:ascii="Arial" w:hAnsi="Arial" w:eastAsia="Arial" w:cs="Arial"/>
      <w:i/>
      <w:iCs/>
      <w:szCs w:val="21"/>
    </w:rPr>
  </w:style>
  <w:style w:type="character" w:styleId="648" w:default="1">
    <w:name w:val="Default Paragraph Font"/>
    <w:uiPriority w:val="1"/>
    <w:semiHidden/>
    <w:unhideWhenUsed/>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Body Text Indent"/>
    <w:basedOn w:val="638"/>
    <w:next w:val="638"/>
    <w:uiPriority w:val="0"/>
    <w:qFormat/>
    <w:pPr>
      <w:ind w:firstLine="560"/>
      <w:jc w:val="left"/>
      <w:spacing w:line="300" w:lineRule="auto"/>
    </w:pPr>
    <w:rPr>
      <w:sz w:val="28"/>
      <w:szCs w:val="28"/>
    </w:rPr>
  </w:style>
  <w:style w:type="paragraph" w:styleId="651">
    <w:name w:val="toc 7"/>
    <w:basedOn w:val="638"/>
    <w:next w:val="638"/>
    <w:uiPriority w:val="39"/>
    <w:qFormat/>
    <w:pPr>
      <w:ind w:left="1701"/>
      <w:spacing w:after="57"/>
    </w:pPr>
  </w:style>
  <w:style w:type="paragraph" w:styleId="652">
    <w:name w:val="Normal Indent"/>
    <w:basedOn w:val="638"/>
    <w:next w:val="638"/>
    <w:uiPriority w:val="0"/>
    <w:qFormat/>
    <w:pPr>
      <w:ind w:left="420" w:firstLine="4772"/>
    </w:pPr>
  </w:style>
  <w:style w:type="paragraph" w:styleId="653">
    <w:name w:val="Caption"/>
    <w:basedOn w:val="638"/>
    <w:next w:val="638"/>
    <w:uiPriority w:val="35"/>
    <w:qFormat/>
    <w:pPr>
      <w:spacing w:line="276" w:lineRule="auto"/>
    </w:pPr>
    <w:rPr>
      <w:b/>
      <w:bCs/>
      <w:color w:val="4f81bd"/>
      <w:sz w:val="18"/>
      <w:szCs w:val="18"/>
    </w:rPr>
  </w:style>
  <w:style w:type="paragraph" w:styleId="654">
    <w:name w:val="annotation text"/>
    <w:basedOn w:val="638"/>
    <w:uiPriority w:val="99"/>
    <w:qFormat/>
    <w:pPr>
      <w:jc w:val="left"/>
    </w:pPr>
  </w:style>
  <w:style w:type="paragraph" w:styleId="655">
    <w:name w:val="Body Text"/>
    <w:basedOn w:val="638"/>
    <w:next w:val="652"/>
    <w:uiPriority w:val="0"/>
    <w:qFormat/>
    <w:pPr>
      <w:ind w:firstLine="2560"/>
    </w:pPr>
  </w:style>
  <w:style w:type="paragraph" w:styleId="656">
    <w:name w:val="toc 5"/>
    <w:basedOn w:val="638"/>
    <w:next w:val="638"/>
    <w:uiPriority w:val="39"/>
    <w:qFormat/>
    <w:pPr>
      <w:ind w:left="1134"/>
      <w:spacing w:after="57"/>
    </w:pPr>
  </w:style>
  <w:style w:type="paragraph" w:styleId="657">
    <w:name w:val="toc 3"/>
    <w:basedOn w:val="638"/>
    <w:next w:val="638"/>
    <w:uiPriority w:val="39"/>
    <w:qFormat/>
    <w:pPr>
      <w:ind w:left="567"/>
      <w:spacing w:after="57"/>
    </w:pPr>
  </w:style>
  <w:style w:type="paragraph" w:styleId="658">
    <w:name w:val="Plain Text"/>
    <w:basedOn w:val="638"/>
    <w:uiPriority w:val="0"/>
    <w:qFormat/>
    <w:rPr>
      <w:rFonts w:ascii="宋体" w:hAnsi="Courier New"/>
    </w:rPr>
  </w:style>
  <w:style w:type="paragraph" w:styleId="659">
    <w:name w:val="toc 8"/>
    <w:basedOn w:val="638"/>
    <w:next w:val="638"/>
    <w:uiPriority w:val="39"/>
    <w:qFormat/>
    <w:pPr>
      <w:ind w:left="1984"/>
      <w:spacing w:after="57"/>
    </w:pPr>
  </w:style>
  <w:style w:type="paragraph" w:styleId="660">
    <w:name w:val="endnote text"/>
    <w:basedOn w:val="638"/>
    <w:link w:val="825"/>
    <w:uiPriority w:val="99"/>
    <w:qFormat/>
    <w:rPr>
      <w:sz w:val="20"/>
    </w:rPr>
  </w:style>
  <w:style w:type="paragraph" w:styleId="661">
    <w:name w:val="Footer"/>
    <w:basedOn w:val="638"/>
    <w:link w:val="698"/>
    <w:uiPriority w:val="99"/>
    <w:qFormat/>
    <w:pPr>
      <w:tabs>
        <w:tab w:val="center" w:pos="7143" w:leader="none"/>
        <w:tab w:val="right" w:pos="14287" w:leader="none"/>
      </w:tabs>
    </w:pPr>
  </w:style>
  <w:style w:type="paragraph" w:styleId="662">
    <w:name w:val="Header"/>
    <w:basedOn w:val="638"/>
    <w:link w:val="696"/>
    <w:uiPriority w:val="99"/>
    <w:qFormat/>
    <w:pPr>
      <w:tabs>
        <w:tab w:val="center" w:pos="7143" w:leader="none"/>
        <w:tab w:val="right" w:pos="14287" w:leader="none"/>
      </w:tabs>
    </w:pPr>
  </w:style>
  <w:style w:type="paragraph" w:styleId="663">
    <w:name w:val="toc 1"/>
    <w:basedOn w:val="638"/>
    <w:next w:val="638"/>
    <w:uiPriority w:val="39"/>
    <w:qFormat/>
    <w:pPr>
      <w:spacing w:after="57"/>
    </w:pPr>
  </w:style>
  <w:style w:type="paragraph" w:styleId="664">
    <w:name w:val="toc 4"/>
    <w:basedOn w:val="638"/>
    <w:next w:val="638"/>
    <w:uiPriority w:val="39"/>
    <w:qFormat/>
    <w:pPr>
      <w:ind w:left="850"/>
      <w:spacing w:after="57"/>
    </w:pPr>
  </w:style>
  <w:style w:type="paragraph" w:styleId="665">
    <w:name w:val="Subtitle"/>
    <w:basedOn w:val="638"/>
    <w:next w:val="638"/>
    <w:link w:val="691"/>
    <w:uiPriority w:val="11"/>
    <w:qFormat/>
    <w:pPr>
      <w:spacing w:before="200" w:after="200"/>
    </w:pPr>
    <w:rPr>
      <w:sz w:val="24"/>
    </w:rPr>
  </w:style>
  <w:style w:type="paragraph" w:styleId="666">
    <w:name w:val="footnote text"/>
    <w:basedOn w:val="638"/>
    <w:link w:val="824"/>
    <w:uiPriority w:val="99"/>
    <w:qFormat/>
    <w:pPr>
      <w:spacing w:after="40"/>
    </w:pPr>
    <w:rPr>
      <w:sz w:val="18"/>
    </w:rPr>
  </w:style>
  <w:style w:type="paragraph" w:styleId="667">
    <w:name w:val="toc 6"/>
    <w:basedOn w:val="638"/>
    <w:next w:val="638"/>
    <w:uiPriority w:val="39"/>
    <w:qFormat/>
    <w:pPr>
      <w:ind w:left="1417"/>
      <w:spacing w:after="57"/>
    </w:pPr>
  </w:style>
  <w:style w:type="paragraph" w:styleId="668">
    <w:name w:val="table of figures"/>
    <w:basedOn w:val="638"/>
    <w:next w:val="638"/>
    <w:uiPriority w:val="99"/>
    <w:qFormat/>
  </w:style>
  <w:style w:type="paragraph" w:styleId="669">
    <w:name w:val="toc 2"/>
    <w:basedOn w:val="638"/>
    <w:next w:val="638"/>
    <w:uiPriority w:val="39"/>
    <w:qFormat/>
    <w:pPr>
      <w:ind w:left="283"/>
      <w:spacing w:after="57"/>
    </w:pPr>
  </w:style>
  <w:style w:type="paragraph" w:styleId="670">
    <w:name w:val="toc 9"/>
    <w:basedOn w:val="638"/>
    <w:next w:val="638"/>
    <w:uiPriority w:val="39"/>
    <w:qFormat/>
    <w:pPr>
      <w:ind w:left="2268"/>
      <w:spacing w:after="57"/>
    </w:pPr>
  </w:style>
  <w:style w:type="paragraph" w:styleId="671">
    <w:name w:val="HTML Preformatted"/>
    <w:basedOn w:val="6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72">
    <w:name w:val="Normal (Web)"/>
    <w:basedOn w:val="638"/>
    <w:uiPriority w:val="99"/>
    <w:qFormat/>
    <w:pPr>
      <w:jc w:val="left"/>
      <w:spacing w:beforeAutospacing="1" w:afterAutospacing="1"/>
    </w:pPr>
    <w:rPr>
      <w:sz w:val="24"/>
    </w:rPr>
  </w:style>
  <w:style w:type="paragraph" w:styleId="673">
    <w:name w:val="Title"/>
    <w:basedOn w:val="638"/>
    <w:next w:val="638"/>
    <w:link w:val="690"/>
    <w:uiPriority w:val="10"/>
    <w:qFormat/>
    <w:pPr>
      <w:contextualSpacing/>
      <w:spacing w:before="300" w:after="200"/>
    </w:pPr>
    <w:rPr>
      <w:sz w:val="48"/>
      <w:szCs w:val="48"/>
    </w:rPr>
  </w:style>
  <w:style w:type="paragraph" w:styleId="674">
    <w:name w:val="Body Text First Indent 2"/>
    <w:basedOn w:val="650"/>
    <w:uiPriority w:val="0"/>
    <w:qFormat/>
    <w:pPr>
      <w:ind w:left="420" w:firstLine="420"/>
      <w:spacing w:before="100" w:beforeAutospacing="1" w:after="120" w:line="240" w:lineRule="auto"/>
    </w:pPr>
  </w:style>
  <w:style w:type="table" w:styleId="6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qFormat/>
    <w:rPr>
      <w:vertAlign w:val="superscript"/>
    </w:rPr>
  </w:style>
  <w:style w:type="character" w:styleId="677">
    <w:name w:val="Hyperlink"/>
    <w:basedOn w:val="648"/>
    <w:uiPriority w:val="99"/>
    <w:qFormat/>
    <w:rPr>
      <w:color w:val="0000ff"/>
      <w:u w:val="single"/>
    </w:rPr>
  </w:style>
  <w:style w:type="character" w:styleId="678">
    <w:name w:val="footnote reference"/>
    <w:uiPriority w:val="99"/>
    <w:qFormat/>
    <w:rPr>
      <w:vertAlign w:val="superscript"/>
    </w:rPr>
  </w:style>
  <w:style w:type="character" w:styleId="679" w:customStyle="1">
    <w:name w:val="标题 1 Char"/>
    <w:link w:val="639"/>
    <w:uiPriority w:val="9"/>
    <w:qFormat/>
    <w:rPr>
      <w:rFonts w:ascii="Arial" w:hAnsi="Arial" w:eastAsia="Arial" w:cs="Arial"/>
      <w:sz w:val="40"/>
      <w:szCs w:val="40"/>
    </w:rPr>
  </w:style>
  <w:style w:type="character" w:styleId="680" w:customStyle="1">
    <w:name w:val="标题 2 Char"/>
    <w:link w:val="640"/>
    <w:uiPriority w:val="9"/>
    <w:qFormat/>
    <w:rPr>
      <w:rFonts w:ascii="Arial" w:hAnsi="Arial" w:eastAsia="Arial" w:cs="Arial"/>
      <w:sz w:val="34"/>
    </w:rPr>
  </w:style>
  <w:style w:type="character" w:styleId="681" w:customStyle="1">
    <w:name w:val="标题 3 Char"/>
    <w:link w:val="641"/>
    <w:uiPriority w:val="9"/>
    <w:qFormat/>
    <w:rPr>
      <w:rFonts w:ascii="Arial" w:hAnsi="Arial" w:eastAsia="Arial" w:cs="Arial"/>
      <w:sz w:val="30"/>
      <w:szCs w:val="30"/>
    </w:rPr>
  </w:style>
  <w:style w:type="character" w:styleId="682" w:customStyle="1">
    <w:name w:val="标题 4 Char"/>
    <w:link w:val="642"/>
    <w:uiPriority w:val="9"/>
    <w:qFormat/>
    <w:rPr>
      <w:rFonts w:ascii="Arial" w:hAnsi="Arial" w:eastAsia="Arial" w:cs="Arial"/>
      <w:b/>
      <w:bCs/>
      <w:sz w:val="26"/>
      <w:szCs w:val="26"/>
    </w:rPr>
  </w:style>
  <w:style w:type="character" w:styleId="683" w:customStyle="1">
    <w:name w:val="标题 5 Char"/>
    <w:link w:val="643"/>
    <w:uiPriority w:val="9"/>
    <w:qFormat/>
    <w:rPr>
      <w:rFonts w:ascii="Arial" w:hAnsi="Arial" w:eastAsia="Arial" w:cs="Arial"/>
      <w:b/>
      <w:bCs/>
      <w:sz w:val="24"/>
      <w:szCs w:val="24"/>
    </w:rPr>
  </w:style>
  <w:style w:type="character" w:styleId="684" w:customStyle="1">
    <w:name w:val="标题 6 Char"/>
    <w:link w:val="644"/>
    <w:uiPriority w:val="9"/>
    <w:qFormat/>
    <w:rPr>
      <w:rFonts w:ascii="Arial" w:hAnsi="Arial" w:eastAsia="Arial" w:cs="Arial"/>
      <w:b/>
      <w:bCs/>
      <w:sz w:val="22"/>
      <w:szCs w:val="22"/>
    </w:rPr>
  </w:style>
  <w:style w:type="character" w:styleId="685" w:customStyle="1">
    <w:name w:val="标题 7 Char"/>
    <w:link w:val="645"/>
    <w:uiPriority w:val="9"/>
    <w:qFormat/>
    <w:rPr>
      <w:rFonts w:ascii="Arial" w:hAnsi="Arial" w:eastAsia="Arial" w:cs="Arial"/>
      <w:b/>
      <w:bCs/>
      <w:i/>
      <w:iCs/>
      <w:sz w:val="22"/>
      <w:szCs w:val="22"/>
    </w:rPr>
  </w:style>
  <w:style w:type="character" w:styleId="686" w:customStyle="1">
    <w:name w:val="标题 8 Char"/>
    <w:link w:val="646"/>
    <w:uiPriority w:val="9"/>
    <w:qFormat/>
    <w:rPr>
      <w:rFonts w:ascii="Arial" w:hAnsi="Arial" w:eastAsia="Arial" w:cs="Arial"/>
      <w:i/>
      <w:iCs/>
      <w:sz w:val="22"/>
      <w:szCs w:val="22"/>
    </w:rPr>
  </w:style>
  <w:style w:type="character" w:styleId="687" w:customStyle="1">
    <w:name w:val="标题 9 Char"/>
    <w:link w:val="647"/>
    <w:uiPriority w:val="9"/>
    <w:qFormat/>
    <w:rPr>
      <w:rFonts w:ascii="Arial" w:hAnsi="Arial" w:eastAsia="Arial" w:cs="Arial"/>
      <w:i/>
      <w:iCs/>
      <w:sz w:val="21"/>
      <w:szCs w:val="21"/>
    </w:rPr>
  </w:style>
  <w:style w:type="paragraph" w:styleId="688">
    <w:name w:val="List Paragraph"/>
    <w:basedOn w:val="638"/>
    <w:uiPriority w:val="34"/>
    <w:qFormat/>
    <w:pPr>
      <w:contextualSpacing/>
      <w:ind w:left="720"/>
    </w:pPr>
  </w:style>
  <w:style w:type="paragraph" w:styleId="689">
    <w:name w:val="No Spacing"/>
    <w:uiPriority w:val="1"/>
    <w:qFormat/>
    <w:rPr>
      <w:rFonts w:ascii="Times New Roman" w:hAnsi="Times New Roman" w:eastAsia="宋体" w:cs="Times New Roman"/>
      <w:lang w:val="en-US" w:eastAsia="zh-CN" w:bidi="ar-SA"/>
    </w:rPr>
  </w:style>
  <w:style w:type="character" w:styleId="690" w:customStyle="1">
    <w:name w:val="标题 Char"/>
    <w:link w:val="673"/>
    <w:uiPriority w:val="10"/>
    <w:qFormat/>
    <w:rPr>
      <w:sz w:val="48"/>
      <w:szCs w:val="48"/>
    </w:rPr>
  </w:style>
  <w:style w:type="character" w:styleId="691" w:customStyle="1">
    <w:name w:val="副标题 Char"/>
    <w:link w:val="665"/>
    <w:uiPriority w:val="11"/>
    <w:qFormat/>
    <w:rPr>
      <w:sz w:val="24"/>
      <w:szCs w:val="24"/>
    </w:rPr>
  </w:style>
  <w:style w:type="paragraph" w:styleId="692">
    <w:name w:val="Quote"/>
    <w:basedOn w:val="638"/>
    <w:next w:val="638"/>
    <w:link w:val="693"/>
    <w:uiPriority w:val="29"/>
    <w:qFormat/>
    <w:pPr>
      <w:ind w:left="720" w:right="720"/>
    </w:pPr>
    <w:rPr>
      <w:i/>
    </w:rPr>
  </w:style>
  <w:style w:type="character" w:styleId="693" w:customStyle="1">
    <w:name w:val="引用 Char"/>
    <w:link w:val="692"/>
    <w:uiPriority w:val="29"/>
    <w:qFormat/>
    <w:rPr>
      <w:i/>
    </w:rPr>
  </w:style>
  <w:style w:type="paragraph" w:styleId="694">
    <w:name w:val="Intense Quote"/>
    <w:basedOn w:val="638"/>
    <w:next w:val="638"/>
    <w:link w:val="6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明显引用 Char"/>
    <w:link w:val="694"/>
    <w:uiPriority w:val="30"/>
    <w:qFormat/>
    <w:rPr>
      <w:i/>
    </w:rPr>
  </w:style>
  <w:style w:type="character" w:styleId="696" w:customStyle="1">
    <w:name w:val="页眉 Char"/>
    <w:link w:val="662"/>
    <w:uiPriority w:val="99"/>
    <w:qFormat/>
  </w:style>
  <w:style w:type="character" w:styleId="697" w:customStyle="1">
    <w:name w:val="Footer Char_8f0830e6-62f6-4445-9c1c-79f7cc3e477f"/>
    <w:uiPriority w:val="99"/>
    <w:qFormat/>
  </w:style>
  <w:style w:type="character" w:styleId="698" w:customStyle="1">
    <w:name w:val="页脚 Char"/>
    <w:link w:val="661"/>
    <w:uiPriority w:val="99"/>
    <w:qFormat/>
  </w:style>
  <w:style w:type="table" w:styleId="699"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00"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0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0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10"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12"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13"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1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1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19"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2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3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3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3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3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3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3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3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40"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74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4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7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747"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4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4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5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5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5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5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54"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56"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5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58"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5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60"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61"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76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7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7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7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7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76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7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7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7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7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7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77"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7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77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8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8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82"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8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78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78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7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78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78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789"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79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79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7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7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7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796"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79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9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0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0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0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10"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11"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12"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1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1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18"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1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22"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24" w:customStyle="1">
    <w:name w:val="脚注文本 Char"/>
    <w:link w:val="666"/>
    <w:uiPriority w:val="99"/>
    <w:qFormat/>
    <w:rPr>
      <w:sz w:val="18"/>
    </w:rPr>
  </w:style>
  <w:style w:type="character" w:styleId="825" w:customStyle="1">
    <w:name w:val="尾注文本 Char"/>
    <w:link w:val="660"/>
    <w:uiPriority w:val="99"/>
    <w:qFormat/>
    <w:rPr>
      <w:sz w:val="20"/>
    </w:rPr>
  </w:style>
  <w:style w:type="paragraph" w:styleId="826" w:customStyle="1">
    <w:name w:val="TOC 标题1"/>
    <w:uiPriority w:val="39"/>
    <w:qFormat/>
    <w:rPr>
      <w:rFonts w:ascii="Times New Roman" w:hAnsi="Times New Roman" w:eastAsia="宋体" w:cs="Times New Roman"/>
      <w:lang w:val="en-US" w:eastAsia="zh-CN" w:bidi="ar-SA"/>
    </w:rPr>
  </w:style>
  <w:style w:type="paragraph" w:styleId="827" w:customStyle="1">
    <w:name w:val="标题 11"/>
    <w:basedOn w:val="638"/>
    <w:next w:val="638"/>
    <w:uiPriority w:val="0"/>
    <w:qFormat/>
    <w:pPr>
      <w:keepLines/>
      <w:keepNext/>
      <w:spacing w:before="340" w:after="330" w:line="578" w:lineRule="auto"/>
      <w:outlineLvl w:val="0"/>
    </w:pPr>
    <w:rPr>
      <w:b/>
      <w:sz w:val="44"/>
    </w:rPr>
  </w:style>
  <w:style w:type="paragraph" w:styleId="828" w:customStyle="1">
    <w:name w:val="标题 21"/>
    <w:basedOn w:val="638"/>
    <w:next w:val="638"/>
    <w:uiPriority w:val="0"/>
    <w:qFormat/>
    <w:pPr>
      <w:keepLines/>
      <w:keepNext/>
      <w:spacing w:before="260" w:after="260" w:line="416" w:lineRule="auto"/>
      <w:outlineLvl w:val="1"/>
    </w:pPr>
    <w:rPr>
      <w:rFonts w:ascii="Cambria" w:hAnsi="Cambria"/>
      <w:b/>
      <w:bCs/>
      <w:sz w:val="32"/>
      <w:szCs w:val="32"/>
    </w:rPr>
  </w:style>
  <w:style w:type="paragraph" w:styleId="829" w:customStyle="1">
    <w:name w:val="标题 31"/>
    <w:basedOn w:val="638"/>
    <w:next w:val="638"/>
    <w:uiPriority w:val="0"/>
    <w:qFormat/>
    <w:pPr>
      <w:keepLines/>
      <w:keepNext/>
      <w:spacing w:before="260" w:after="260" w:line="416" w:lineRule="auto"/>
      <w:outlineLvl w:val="2"/>
    </w:pPr>
    <w:rPr>
      <w:b/>
      <w:bCs/>
      <w:sz w:val="32"/>
      <w:szCs w:val="32"/>
    </w:rPr>
  </w:style>
  <w:style w:type="character" w:styleId="830" w:customStyle="1">
    <w:name w:val="默认段落字体1"/>
    <w:uiPriority w:val="0"/>
    <w:qFormat/>
  </w:style>
  <w:style w:type="table" w:styleId="831" w:customStyle="1">
    <w:name w:val="普通表格1"/>
    <w:uiPriority w:val="0"/>
    <w:qFormat/>
    <w:tblPr>
      <w:tblCellMar>
        <w:left w:w="0" w:type="dxa"/>
        <w:top w:w="0" w:type="dxa"/>
        <w:right w:w="0" w:type="dxa"/>
        <w:bottom w:w="0" w:type="dxa"/>
      </w:tblCellMar>
    </w:tblPr>
  </w:style>
  <w:style w:type="paragraph" w:styleId="832" w:customStyle="1">
    <w:name w:val="正文文本缩进11"/>
    <w:basedOn w:val="638"/>
    <w:next w:val="638"/>
    <w:uiPriority w:val="0"/>
    <w:qFormat/>
    <w:pPr>
      <w:ind w:firstLine="570"/>
    </w:pPr>
    <w:rPr>
      <w:rFonts w:ascii="宋体"/>
      <w:sz w:val="28"/>
    </w:rPr>
  </w:style>
  <w:style w:type="paragraph" w:styleId="833" w:customStyle="1">
    <w:name w:val="目录 71"/>
    <w:basedOn w:val="638"/>
    <w:next w:val="638"/>
    <w:uiPriority w:val="0"/>
    <w:qFormat/>
    <w:pPr>
      <w:ind w:left="2520"/>
    </w:pPr>
    <w:rPr>
      <w:rFonts w:eastAsia="楷体_GB2312"/>
      <w:sz w:val="26"/>
      <w:szCs w:val="20"/>
    </w:rPr>
  </w:style>
  <w:style w:type="paragraph" w:styleId="834" w:customStyle="1">
    <w:name w:val="正文缩进1"/>
    <w:basedOn w:val="638"/>
    <w:next w:val="638"/>
    <w:uiPriority w:val="0"/>
    <w:qFormat/>
    <w:pPr>
      <w:ind w:firstLine="420"/>
      <w:jc w:val="left"/>
    </w:pPr>
    <w:rPr>
      <w:sz w:val="24"/>
    </w:rPr>
  </w:style>
  <w:style w:type="paragraph" w:styleId="835" w:customStyle="1">
    <w:name w:val="题注1"/>
    <w:basedOn w:val="827"/>
    <w:next w:val="638"/>
    <w:uiPriority w:val="0"/>
    <w:qFormat/>
    <w:pPr>
      <w:ind w:left="200" w:firstLine="2248"/>
      <w:jc w:val="center"/>
      <w:spacing w:before="0" w:after="0" w:line="240" w:lineRule="auto"/>
    </w:pPr>
  </w:style>
  <w:style w:type="paragraph" w:styleId="836" w:customStyle="1">
    <w:name w:val="批注文字1"/>
    <w:basedOn w:val="638"/>
    <w:uiPriority w:val="0"/>
    <w:qFormat/>
    <w:pPr>
      <w:jc w:val="left"/>
    </w:pPr>
  </w:style>
  <w:style w:type="paragraph" w:styleId="837" w:customStyle="1">
    <w:name w:val="正文文本1"/>
    <w:basedOn w:val="638"/>
    <w:next w:val="638"/>
    <w:uiPriority w:val="99"/>
    <w:qFormat/>
    <w:rPr>
      <w:rFonts w:ascii="楷体_GB2312" w:eastAsia="楷体_GB2312"/>
      <w:b/>
      <w:bCs/>
      <w:sz w:val="28"/>
      <w:szCs w:val="20"/>
    </w:rPr>
  </w:style>
  <w:style w:type="paragraph" w:styleId="838" w:customStyle="1">
    <w:name w:val="文本块1"/>
    <w:basedOn w:val="638"/>
    <w:uiPriority w:val="0"/>
    <w:qFormat/>
    <w:pPr>
      <w:ind w:left="630" w:right="-609" w:firstLine="420"/>
      <w:spacing w:line="360" w:lineRule="auto"/>
    </w:pPr>
    <w:rPr>
      <w:rFonts w:hint="eastAsia" w:ascii="仿宋_GB2312" w:eastAsia="仿宋_GB2312"/>
      <w:szCs w:val="20"/>
    </w:rPr>
  </w:style>
  <w:style w:type="paragraph" w:styleId="839" w:customStyle="1">
    <w:name w:val="纯文本11"/>
    <w:basedOn w:val="638"/>
    <w:uiPriority w:val="0"/>
    <w:qFormat/>
    <w:rPr>
      <w:rFonts w:ascii="宋体" w:hAnsi="Courier New"/>
    </w:rPr>
  </w:style>
  <w:style w:type="paragraph" w:styleId="840" w:customStyle="1">
    <w:name w:val="日期1"/>
    <w:basedOn w:val="638"/>
    <w:next w:val="638"/>
    <w:uiPriority w:val="0"/>
    <w:qFormat/>
    <w:rPr>
      <w:rFonts w:ascii="宋体" w:hAnsi="宋体"/>
      <w:sz w:val="24"/>
    </w:rPr>
  </w:style>
  <w:style w:type="paragraph" w:styleId="841" w:customStyle="1">
    <w:name w:val="正文文本缩进 21"/>
    <w:basedOn w:val="638"/>
    <w:uiPriority w:val="0"/>
    <w:qFormat/>
    <w:pPr>
      <w:ind w:left="420"/>
      <w:spacing w:after="120" w:line="480" w:lineRule="auto"/>
    </w:pPr>
  </w:style>
  <w:style w:type="paragraph" w:styleId="842" w:customStyle="1">
    <w:name w:val="页脚1"/>
    <w:basedOn w:val="638"/>
    <w:next w:val="843"/>
    <w:uiPriority w:val="0"/>
    <w:qFormat/>
    <w:pPr>
      <w:jc w:val="left"/>
      <w:tabs>
        <w:tab w:val="center" w:pos="4153" w:leader="none"/>
        <w:tab w:val="right" w:pos="8306" w:leader="none"/>
      </w:tabs>
    </w:pPr>
    <w:rPr>
      <w:sz w:val="18"/>
    </w:rPr>
  </w:style>
  <w:style w:type="paragraph" w:styleId="843" w:customStyle="1">
    <w:name w:val="Char Char Char Char Char Char Char Char Char Char Char Char Char"/>
    <w:basedOn w:val="827"/>
    <w:next w:val="638"/>
    <w:uiPriority w:val="0"/>
    <w:qFormat/>
    <w:pPr>
      <w:ind w:firstLine="3584"/>
      <w:spacing w:before="0" w:after="160" w:line="240" w:lineRule="exact"/>
    </w:pPr>
  </w:style>
  <w:style w:type="paragraph" w:styleId="844" w:customStyle="1">
    <w:name w:val="页眉1"/>
    <w:basedOn w:val="827"/>
    <w:next w:val="840"/>
    <w:uiPriority w:val="0"/>
    <w:qFormat/>
    <w:pPr>
      <w:jc w:val="center"/>
      <w:tabs>
        <w:tab w:val="center" w:pos="4153" w:leader="none"/>
        <w:tab w:val="right" w:pos="8306" w:leader="none"/>
      </w:tabs>
      <w:pBdr>
        <w:bottom w:val="none" w:color="000000" w:sz="0" w:space="1"/>
      </w:pBdr>
    </w:pPr>
    <w:rPr>
      <w:sz w:val="18"/>
    </w:rPr>
  </w:style>
  <w:style w:type="paragraph" w:styleId="845" w:customStyle="1">
    <w:name w:val="目录 11"/>
    <w:basedOn w:val="638"/>
    <w:next w:val="638"/>
    <w:uiPriority w:val="39"/>
    <w:qFormat/>
    <w:pPr>
      <w:jc w:val="left"/>
    </w:pPr>
    <w:rPr>
      <w:rFonts w:eastAsia="楷体_GB2312"/>
      <w:sz w:val="24"/>
      <w:szCs w:val="20"/>
    </w:rPr>
  </w:style>
  <w:style w:type="paragraph" w:styleId="846" w:customStyle="1">
    <w:name w:val="正文文本缩进 31"/>
    <w:basedOn w:val="638"/>
    <w:uiPriority w:val="0"/>
    <w:qFormat/>
    <w:pPr>
      <w:ind w:firstLine="480"/>
      <w:jc w:val="left"/>
      <w:spacing w:line="440" w:lineRule="atLeast"/>
    </w:pPr>
    <w:rPr>
      <w:sz w:val="24"/>
    </w:rPr>
  </w:style>
  <w:style w:type="paragraph" w:styleId="847" w:customStyle="1">
    <w:name w:val="HTML 预设格式1"/>
    <w:basedOn w:val="827"/>
    <w:next w:val="835"/>
    <w:uiPriority w:val="0"/>
    <w:qFormat/>
    <w:pPr>
      <w:ind w:firstLine="2048"/>
      <w:spacing w:before="0" w:after="0" w:line="253" w:lineRule="atLeast"/>
    </w:pPr>
  </w:style>
  <w:style w:type="paragraph" w:styleId="848" w:customStyle="1">
    <w:name w:val="普通(网站)1"/>
    <w:basedOn w:val="638"/>
    <w:uiPriority w:val="99"/>
    <w:qFormat/>
    <w:pPr>
      <w:jc w:val="left"/>
      <w:spacing w:beforeAutospacing="1" w:afterAutospacing="1"/>
    </w:pPr>
    <w:rPr>
      <w:sz w:val="24"/>
    </w:rPr>
  </w:style>
  <w:style w:type="paragraph" w:styleId="849" w:customStyle="1">
    <w:name w:val="正文首行缩进1"/>
    <w:basedOn w:val="837"/>
    <w:uiPriority w:val="0"/>
    <w:qFormat/>
    <w:pPr>
      <w:ind w:firstLine="420"/>
      <w:spacing w:after="120"/>
    </w:pPr>
    <w:rPr>
      <w:rFonts w:ascii="Times New Roman" w:eastAsia="宋体"/>
      <w:sz w:val="21"/>
      <w:szCs w:val="24"/>
    </w:rPr>
  </w:style>
  <w:style w:type="paragraph" w:styleId="850" w:customStyle="1">
    <w:name w:val="正文首行缩进 21"/>
    <w:basedOn w:val="832"/>
    <w:uiPriority w:val="99"/>
    <w:qFormat/>
    <w:pPr>
      <w:ind w:firstLine="420"/>
    </w:pPr>
  </w:style>
  <w:style w:type="table" w:styleId="851" w:customStyle="1">
    <w:name w:val="网格型1"/>
    <w:basedOn w:val="831"/>
    <w:uiPriority w:val="39"/>
    <w:qFormat/>
    <w:pPr>
      <w:widowControl w:val="off"/>
    </w:pPr>
    <w:tblPr>
      <w:tblCellMar>
        <w:left w:w="0" w:type="dxa"/>
        <w:top w:w="0" w:type="dxa"/>
        <w:right w:w="0" w:type="dxa"/>
        <w:bottom w:w="0" w:type="dxa"/>
      </w:tblCellMar>
    </w:tblPr>
  </w:style>
  <w:style w:type="character" w:styleId="852" w:customStyle="1">
    <w:name w:val="要点1"/>
    <w:uiPriority w:val="0"/>
    <w:qFormat/>
    <w:rPr>
      <w:rFonts w:ascii="Calibri" w:hAnsi="Calibri" w:eastAsia="宋体" w:cs="Times New Roman"/>
      <w:b/>
    </w:rPr>
  </w:style>
  <w:style w:type="character" w:styleId="853" w:customStyle="1">
    <w:name w:val="页码1"/>
    <w:uiPriority w:val="0"/>
    <w:qFormat/>
  </w:style>
  <w:style w:type="character" w:styleId="854" w:customStyle="1">
    <w:name w:val="超链接1"/>
    <w:uiPriority w:val="99"/>
    <w:qFormat/>
    <w:rPr>
      <w:color w:val="07519a"/>
      <w:u w:val="none"/>
    </w:rPr>
  </w:style>
  <w:style w:type="character" w:styleId="855" w:customStyle="1">
    <w:name w:val="批注引用1"/>
    <w:uiPriority w:val="0"/>
    <w:qFormat/>
    <w:rPr>
      <w:rFonts w:ascii="Calibri" w:hAnsi="Calibri" w:eastAsia="宋体" w:cs="Times New Roman"/>
      <w:sz w:val="21"/>
      <w:szCs w:val="21"/>
    </w:rPr>
  </w:style>
  <w:style w:type="paragraph" w:styleId="856" w:customStyle="1">
    <w:name w:val="目录 51"/>
    <w:next w:val="638"/>
    <w:uiPriority w:val="0"/>
    <w:qFormat/>
    <w:pPr>
      <w:ind w:left="1275"/>
      <w:jc w:val="both"/>
    </w:pPr>
    <w:rPr>
      <w:rFonts w:ascii="Times New Roman" w:hAnsi="Times New Roman" w:eastAsia="宋体" w:cs="Times New Roman"/>
      <w:sz w:val="21"/>
      <w:lang w:val="en-US" w:eastAsia="zh-CN" w:bidi="ar-SA"/>
    </w:rPr>
  </w:style>
  <w:style w:type="paragraph" w:styleId="857" w:customStyle="1">
    <w:name w:val="段"/>
    <w:next w:val="63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58" w:customStyle="1">
    <w:name w:val="纯文本2"/>
    <w:basedOn w:val="638"/>
    <w:uiPriority w:val="0"/>
    <w:qFormat/>
    <w:rPr>
      <w:rFonts w:ascii="宋体" w:hAnsi="Courier New"/>
      <w:szCs w:val="22"/>
    </w:rPr>
  </w:style>
  <w:style w:type="paragraph" w:styleId="859" w:customStyle="1">
    <w:name w:val="纯文本4"/>
    <w:basedOn w:val="638"/>
    <w:uiPriority w:val="0"/>
    <w:qFormat/>
    <w:rPr>
      <w:rFonts w:ascii="宋体" w:hAnsi="Courier New" w:eastAsia="楷体_GB2312"/>
      <w:sz w:val="26"/>
      <w:szCs w:val="20"/>
    </w:rPr>
  </w:style>
  <w:style w:type="paragraph" w:styleId="860" w:customStyle="1">
    <w:name w:val="纯文本1"/>
    <w:basedOn w:val="638"/>
    <w:uiPriority w:val="0"/>
    <w:qFormat/>
    <w:rPr>
      <w:rFonts w:ascii="宋体" w:hAnsi="Courier New" w:eastAsia="楷体_GB2312"/>
      <w:sz w:val="28"/>
      <w:szCs w:val="20"/>
    </w:rPr>
  </w:style>
  <w:style w:type="paragraph" w:styleId="861" w:customStyle="1">
    <w:name w:val="文档正文"/>
    <w:basedOn w:val="638"/>
    <w:uiPriority w:val="0"/>
    <w:qFormat/>
    <w:pPr>
      <w:ind w:firstLine="567"/>
      <w:spacing w:line="480" w:lineRule="atLeast"/>
    </w:pPr>
    <w:rPr>
      <w:rFonts w:ascii="仿宋_GB2312" w:eastAsia="仿宋_GB2312"/>
      <w:sz w:val="28"/>
    </w:rPr>
  </w:style>
  <w:style w:type="paragraph" w:styleId="862" w:customStyle="1">
    <w:name w:val="p0"/>
    <w:basedOn w:val="638"/>
    <w:uiPriority w:val="0"/>
    <w:qFormat/>
    <w:pPr>
      <w:jc w:val="left"/>
      <w:widowControl/>
    </w:pPr>
    <w:rPr>
      <w:sz w:val="24"/>
    </w:rPr>
  </w:style>
  <w:style w:type="paragraph" w:styleId="863" w:customStyle="1">
    <w:name w:val="p18"/>
    <w:basedOn w:val="638"/>
    <w:uiPriority w:val="0"/>
    <w:qFormat/>
    <w:pPr>
      <w:ind w:firstLine="420"/>
      <w:jc w:val="left"/>
      <w:widowControl/>
    </w:pPr>
    <w:rPr>
      <w:sz w:val="24"/>
    </w:rPr>
  </w:style>
  <w:style w:type="paragraph" w:styleId="864" w:customStyle="1">
    <w:name w:val="_正文段落"/>
    <w:basedOn w:val="638"/>
    <w:uiPriority w:val="0"/>
    <w:qFormat/>
    <w:pPr>
      <w:ind w:firstLine="480"/>
      <w:spacing w:line="360" w:lineRule="auto"/>
    </w:pPr>
    <w:rPr>
      <w:rFonts w:ascii="宋体" w:hAnsi="宋体"/>
      <w:sz w:val="24"/>
    </w:rPr>
  </w:style>
  <w:style w:type="paragraph" w:styleId="865" w:customStyle="1">
    <w:name w:val="_Style 4"/>
    <w:basedOn w:val="638"/>
    <w:next w:val="638"/>
    <w:uiPriority w:val="0"/>
    <w:qFormat/>
    <w:pPr>
      <w:jc w:val="center"/>
      <w:pBdr>
        <w:bottom w:val="single" w:color="000000" w:sz="6" w:space="1"/>
      </w:pBdr>
    </w:pPr>
    <w:rPr>
      <w:rFonts w:ascii="Arial"/>
      <w:vanish/>
      <w:sz w:val="16"/>
    </w:rPr>
  </w:style>
  <w:style w:type="paragraph" w:styleId="866" w:customStyle="1">
    <w:name w:val="_Style 5"/>
    <w:basedOn w:val="638"/>
    <w:next w:val="638"/>
    <w:uiPriority w:val="0"/>
    <w:qFormat/>
    <w:pPr>
      <w:jc w:val="center"/>
      <w:pBdr>
        <w:top w:val="single" w:color="000000" w:sz="6" w:space="1"/>
      </w:pBdr>
    </w:pPr>
    <w:rPr>
      <w:rFonts w:ascii="Arial"/>
      <w:vanish/>
      <w:sz w:val="16"/>
    </w:rPr>
  </w:style>
  <w:style w:type="character" w:styleId="867" w:customStyle="1">
    <w:name w:val="font111"/>
    <w:uiPriority w:val="0"/>
    <w:qFormat/>
    <w:rPr>
      <w:rFonts w:hint="eastAsia" w:ascii="宋体" w:hAnsi="宋体" w:eastAsia="宋体" w:cs="宋体"/>
      <w:b/>
      <w:bCs/>
      <w:color w:val="000000"/>
      <w:sz w:val="22"/>
      <w:szCs w:val="22"/>
      <w:u w:val="none"/>
    </w:rPr>
  </w:style>
  <w:style w:type="paragraph" w:styleId="868" w:customStyle="1">
    <w:name w:val="列表段落"/>
    <w:basedOn w:val="638"/>
    <w:uiPriority w:val="34"/>
    <w:qFormat/>
    <w:pPr>
      <w:ind w:firstLine="420"/>
    </w:pPr>
  </w:style>
  <w:style w:type="character" w:styleId="869" w:customStyle="1">
    <w:name w:val="font11"/>
    <w:basedOn w:val="830"/>
    <w:uiPriority w:val="0"/>
    <w:qFormat/>
    <w:rPr>
      <w:rFonts w:hint="eastAsia" w:ascii="宋体" w:hAnsi="宋体" w:eastAsia="宋体" w:cs="宋体"/>
      <w:color w:val="000000"/>
      <w:sz w:val="20"/>
      <w:szCs w:val="20"/>
      <w:u w:val="none"/>
    </w:rPr>
  </w:style>
  <w:style w:type="character" w:styleId="870" w:customStyle="1">
    <w:name w:val="font101"/>
    <w:basedOn w:val="830"/>
    <w:uiPriority w:val="0"/>
    <w:qFormat/>
    <w:rPr>
      <w:rFonts w:ascii="Arial" w:hAnsi="Arial" w:cs="Arial"/>
      <w:color w:val="000000"/>
      <w:sz w:val="20"/>
      <w:szCs w:val="20"/>
      <w:u w:val="none"/>
    </w:rPr>
  </w:style>
  <w:style w:type="paragraph" w:styleId="871" w:customStyle="1">
    <w:name w:val="首行缩进"/>
    <w:basedOn w:val="638"/>
    <w:uiPriority w:val="0"/>
    <w:qFormat/>
    <w:pPr>
      <w:ind w:firstLine="480"/>
    </w:pPr>
    <w:rPr>
      <w:szCs w:val="20"/>
      <w:lang w:val="zh-CN"/>
    </w:rPr>
  </w:style>
  <w:style w:type="paragraph" w:styleId="872" w:customStyle="1">
    <w:name w:val="_Style 12"/>
    <w:basedOn w:val="638"/>
    <w:next w:val="873"/>
    <w:uiPriority w:val="0"/>
    <w:qFormat/>
    <w:pPr>
      <w:jc w:val="center"/>
    </w:pPr>
    <w:rPr>
      <w:rFonts w:ascii="宋体" w:hAnsi="宋体"/>
      <w:szCs w:val="21"/>
    </w:rPr>
  </w:style>
  <w:style w:type="paragraph" w:styleId="873" w:customStyle="1">
    <w:name w:val="正文文本缩进1"/>
    <w:basedOn w:val="827"/>
    <w:next w:val="874"/>
    <w:uiPriority w:val="0"/>
    <w:qFormat/>
    <w:pPr>
      <w:ind w:left="420" w:firstLine="3584"/>
      <w:spacing w:before="0" w:after="120" w:line="240" w:lineRule="auto"/>
    </w:pPr>
  </w:style>
  <w:style w:type="paragraph" w:styleId="874" w:customStyle="1">
    <w:name w:val="列表编号 31"/>
    <w:basedOn w:val="827"/>
    <w:next w:val="847"/>
    <w:uiPriority w:val="0"/>
    <w:qFormat/>
    <w:pPr>
      <w:ind w:left="1200" w:firstLine="2712"/>
      <w:spacing w:before="0" w:after="0" w:line="360" w:lineRule="auto"/>
    </w:pPr>
  </w:style>
  <w:style w:type="paragraph" w:styleId="875" w:customStyle="1">
    <w:name w:val="TableOfAuthoring1"/>
    <w:basedOn w:val="638"/>
    <w:next w:val="638"/>
    <w:uiPriority w:val="0"/>
    <w:qFormat/>
    <w:pPr>
      <w:ind w:left="420"/>
    </w:pPr>
    <w:rPr>
      <w:rFonts w:ascii="Calibri" w:hAnsi="Calibri" w:eastAsia="楷体_GB2312"/>
    </w:rPr>
  </w:style>
  <w:style w:type="character" w:styleId="876" w:customStyle="1">
    <w:name w:val="font01"/>
    <w:basedOn w:val="648"/>
    <w:uiPriority w:val="0"/>
    <w:qFormat/>
    <w:rPr>
      <w:rFonts w:hint="eastAsia" w:ascii="宋体" w:hAnsi="宋体" w:eastAsia="宋体" w:cs="宋体"/>
      <w:color w:val="000000"/>
      <w:sz w:val="22"/>
      <w:szCs w:val="22"/>
      <w:u w:val="none"/>
    </w:rPr>
  </w:style>
  <w:style w:type="numbering" w:styleId="12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吴苏玲</cp:lastModifiedBy>
  <cp:revision>8</cp:revision>
  <dcterms:created xsi:type="dcterms:W3CDTF">2023-03-06T22:28:00Z</dcterms:created>
  <dcterms:modified xsi:type="dcterms:W3CDTF">2025-10-28T07:28:51Z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5C5B5A910DD04EEFB41C3079D7E9A9FA_13</vt:lpwstr>
  </property>
  <property fmtid="{D5CDD505-2E9C-101B-9397-08002B2CF9AE}" pid="4" name="KSOTemplateDocerSaveRecord">
    <vt:lpwstr>eyJoZGlkIjoiNDc3YjQ0MzA3NzlkYzAxOWJkMWZjYjZiMjQ3OTg5ZWUiLCJ1c2VySWQiOiIzNzQzNTQzNDcifQ==</vt:lpwstr>
  </property>
</Properties>
</file>